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bCs w:val="1"/>
          <w:sz w:val="32"/>
          <w:szCs w:val="32"/>
        </w:rPr>
      </w:pPr>
      <w:r w:rsidDel="00000000" w:rsidR="00000000" w:rsidRPr="00000000">
        <w:rPr>
          <w:rFonts w:ascii="Times New Roman" w:cs="Times New Roman" w:eastAsia="Times New Roman" w:hAnsi="Times New Roman"/>
          <w:b w:val="1"/>
          <w:bCs w:val="1"/>
          <w:sz w:val="32"/>
          <w:szCs w:val="32"/>
          <w:rtl w:val="0"/>
        </w:rPr>
        <w:t xml:space="preserve">FIŞA DISCIPLINEI</w:t>
      </w:r>
    </w:p>
    <w:p w:rsidR="00000000" w:rsidDel="00000000" w:rsidP="00000000" w:rsidRDefault="00000000" w:rsidRPr="00000000" w14:paraId="00000002">
      <w:pPr>
        <w:jc w:val="center"/>
        <w:rPr>
          <w:rFonts w:ascii="Times New Roman" w:cs="Times New Roman" w:eastAsia="Times New Roman" w:hAnsi="Times New Roman"/>
          <w:b w:val="1"/>
          <w:bCs w:val="1"/>
          <w:sz w:val="32"/>
          <w:szCs w:val="32"/>
        </w:rPr>
      </w:pPr>
      <w:r w:rsidDel="00000000" w:rsidR="00000000" w:rsidRPr="00000000">
        <w:rPr>
          <w:rtl w:val="0"/>
        </w:rPr>
      </w:r>
    </w:p>
    <w:p w:rsidR="00000000" w:rsidDel="00000000" w:rsidP="00000000" w:rsidRDefault="00000000" w:rsidRPr="00000000" w14:paraId="000000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Date despre program</w:t>
      </w:r>
    </w:p>
    <w:tbl>
      <w:tblPr>
        <w:tblStyle w:val="Table1"/>
        <w:tblW w:w="99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00"/>
        <w:gridCol w:w="6162"/>
        <w:tblGridChange w:id="0">
          <w:tblGrid>
            <w:gridCol w:w="3800"/>
            <w:gridCol w:w="6162"/>
          </w:tblGrid>
        </w:tblGridChange>
      </w:tblGrid>
      <w:tr>
        <w:trPr>
          <w:cantSplit w:val="0"/>
          <w:tblHeader w:val="0"/>
        </w:trPr>
        <w:tc>
          <w:tcPr>
            <w:vAlign w:val="center"/>
          </w:tcPr>
          <w:p w:rsidR="00000000" w:rsidDel="00000000" w:rsidP="00000000" w:rsidRDefault="00000000" w:rsidRPr="00000000" w14:paraId="00000004">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Instituţia de învăţământ superior</w:t>
            </w:r>
          </w:p>
        </w:tc>
        <w:tc>
          <w:tcPr>
            <w:vAlign w:val="center"/>
          </w:tcPr>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Sociologie și Psihologie / Științele educației</w:t>
            </w:r>
          </w:p>
        </w:tc>
      </w:tr>
      <w:tr>
        <w:trPr>
          <w:cantSplit w:val="0"/>
          <w:tblHeader w:val="0"/>
        </w:trPr>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1.3 Catedra</w:t>
            </w:r>
          </w:p>
        </w:tc>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Științele educației</w:t>
            </w:r>
          </w:p>
        </w:tc>
      </w:tr>
      <w:tr>
        <w:trPr>
          <w:cantSplit w:val="0"/>
          <w:tblHeader w:val="0"/>
        </w:trPr>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 Domeniul de studii</w:t>
            </w:r>
          </w:p>
        </w:tc>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Științele educației</w:t>
            </w:r>
          </w:p>
        </w:tc>
      </w:tr>
      <w:tr>
        <w:trPr>
          <w:cantSplit w:val="0"/>
          <w:tblHeader w:val="0"/>
        </w:trPr>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1.5 Ciclul de studii</w:t>
            </w:r>
          </w:p>
        </w:tc>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Master</w:t>
            </w:r>
          </w:p>
        </w:tc>
      </w:tr>
      <w:tr>
        <w:trPr>
          <w:cantSplit w:val="0"/>
          <w:tblHeader w:val="0"/>
        </w:trPr>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1.6 Programul de studii / Calificarea</w:t>
            </w:r>
          </w:p>
        </w:tc>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MANAGEMENT EDUCAŢIONAL ȘI DEZVOLTARE CURRICULARĂ / Magister în Științele educației</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Cod COR: Formator – Cod COR 242401; Manager de proiect - Cod COR 242101</w:t>
            </w:r>
          </w:p>
        </w:tc>
      </w:tr>
    </w:tbl>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Date despre disciplină</w:t>
      </w:r>
    </w:p>
    <w:tbl>
      <w:tblPr>
        <w:tblStyle w:val="Table2"/>
        <w:tblW w:w="10207.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2127"/>
        <w:gridCol w:w="501"/>
        <w:gridCol w:w="2334"/>
        <w:gridCol w:w="567"/>
        <w:tblGridChange w:id="0">
          <w:tblGrid>
            <w:gridCol w:w="1843"/>
            <w:gridCol w:w="567"/>
            <w:gridCol w:w="1418"/>
            <w:gridCol w:w="283"/>
            <w:gridCol w:w="567"/>
            <w:gridCol w:w="2127"/>
            <w:gridCol w:w="501"/>
            <w:gridCol w:w="2334"/>
            <w:gridCol w:w="567"/>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Legislație și politici educaţionale</w:t>
            </w:r>
          </w:p>
        </w:tc>
      </w:tr>
      <w:tr>
        <w:trPr>
          <w:cantSplit w:val="0"/>
          <w:tblHeader w:val="0"/>
        </w:trPr>
        <w:tc>
          <w:tcPr>
            <w:gridSpan w:val="3"/>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2.2 Titularul activităţilor de curs</w:t>
            </w:r>
          </w:p>
        </w:tc>
        <w:tc>
          <w:tcPr>
            <w:gridSpan w:val="6"/>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Prof.univ.dr. Simona Sava</w:t>
            </w:r>
          </w:p>
        </w:tc>
      </w:tr>
      <w:tr>
        <w:trPr>
          <w:cantSplit w:val="0"/>
          <w:tblHeader w:val="0"/>
        </w:trPr>
        <w:tc>
          <w:tcPr>
            <w:gridSpan w:val="3"/>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2.3 Titularul activităţilor de seminar</w:t>
            </w:r>
          </w:p>
        </w:tc>
        <w:tc>
          <w:tcPr>
            <w:gridSpan w:val="6"/>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Prof.univ.dr. Simona Sava</w:t>
            </w:r>
          </w:p>
        </w:tc>
      </w:tr>
      <w:tr>
        <w:trPr>
          <w:cantSplit w:val="0"/>
          <w:tblHeader w:val="0"/>
        </w:trPr>
        <w:tc>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w:t>
            </w:r>
          </w:p>
        </w:tc>
        <w:tc>
          <w:tcPr>
            <w:gridSpan w:val="2"/>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2.6 Tipul de evaluare</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Obl</w:t>
            </w:r>
          </w:p>
        </w:tc>
      </w:tr>
    </w:tbl>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Timpul total estimat (ore pe semestru al activităţilor didactice)</w:t>
      </w:r>
    </w:p>
    <w:tbl>
      <w:tblPr>
        <w:tblStyle w:val="Table3"/>
        <w:tblW w:w="1017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50"/>
        <w:gridCol w:w="546"/>
        <w:gridCol w:w="520"/>
        <w:gridCol w:w="1917"/>
        <w:gridCol w:w="556"/>
        <w:gridCol w:w="2488"/>
        <w:gridCol w:w="696"/>
        <w:tblGridChange w:id="0">
          <w:tblGrid>
            <w:gridCol w:w="3450"/>
            <w:gridCol w:w="546"/>
            <w:gridCol w:w="520"/>
            <w:gridCol w:w="1917"/>
            <w:gridCol w:w="556"/>
            <w:gridCol w:w="2488"/>
            <w:gridCol w:w="696"/>
          </w:tblGrid>
        </w:tblGridChange>
      </w:tblGrid>
      <w:tr>
        <w:trPr>
          <w:cantSplit w:val="0"/>
          <w:tblHeader w:val="0"/>
        </w:trPr>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3.1 Număr de ore pe săptămână</w:t>
            </w:r>
          </w:p>
        </w:tc>
        <w:tc>
          <w:tcPr>
            <w:gridSpan w:val="2"/>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3.4 Total ore din planul de învăţământ</w:t>
            </w:r>
          </w:p>
        </w:tc>
        <w:tc>
          <w:tcPr>
            <w:gridSpan w:val="2"/>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28</w:t>
            </w:r>
          </w:p>
        </w:tc>
        <w:tc>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Distribuţia fondului de timp:</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Studiul după manual, suport de curs, bibliografie şi notiţe</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30</w:t>
            </w:r>
          </w:p>
        </w:tc>
      </w:tr>
      <w:tr>
        <w:trPr>
          <w:cantSplit w:val="0"/>
          <w:tblHeader w:val="0"/>
        </w:trPr>
        <w:tc>
          <w:tcPr>
            <w:gridSpan w:val="6"/>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Pregătire seminarii / laboratoare, teme, referate, portofolii şi eseuri</w:t>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25</w:t>
            </w:r>
          </w:p>
        </w:tc>
      </w:tr>
      <w:tr>
        <w:trPr>
          <w:cantSplit w:val="0"/>
          <w:tblHeader w:val="0"/>
        </w:trPr>
        <w:tc>
          <w:tcPr>
            <w:gridSpan w:val="6"/>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Tutoriat </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w:t>
            </w:r>
          </w:p>
        </w:tc>
      </w:tr>
      <w:tr>
        <w:trPr>
          <w:cantSplit w:val="0"/>
          <w:tblHeader w:val="0"/>
        </w:trPr>
        <w:tc>
          <w:tcPr>
            <w:gridSpan w:val="6"/>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Examinări </w:t>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Alte activități: participări la conferințe, interviuri etc.</w:t>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Total ore</w:t>
            </w:r>
          </w:p>
        </w:tc>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72</w:t>
            </w:r>
          </w:p>
        </w:tc>
      </w:tr>
      <w:tr>
        <w:trPr>
          <w:cantSplit w:val="0"/>
          <w:tblHeader w:val="0"/>
        </w:trPr>
        <w:tc>
          <w:tcPr>
            <w:shd w:fill="c3bd96" w:val="clear"/>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3.7 Total ore studiu individual</w:t>
            </w:r>
          </w:p>
        </w:tc>
        <w:tc>
          <w:tcPr>
            <w:shd w:fill="c3bd96" w:val="clear"/>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72</w:t>
            </w:r>
          </w:p>
        </w:tc>
      </w:tr>
      <w:tr>
        <w:trPr>
          <w:cantSplit w:val="0"/>
          <w:tblHeader w:val="0"/>
        </w:trPr>
        <w:tc>
          <w:tcPr>
            <w:shd w:fill="c3bd96" w:val="clear"/>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3.8 Total ore pe semestru</w:t>
            </w:r>
          </w:p>
        </w:tc>
        <w:tc>
          <w:tcPr>
            <w:shd w:fill="c3bd96" w:val="clear"/>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100</w:t>
            </w:r>
          </w:p>
        </w:tc>
      </w:tr>
      <w:tr>
        <w:trPr>
          <w:cantSplit w:val="0"/>
          <w:tblHeader w:val="0"/>
        </w:trPr>
        <w:tc>
          <w:tcPr>
            <w:shd w:fill="c3bd96" w:val="clear"/>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3.9 Numărul de credite</w:t>
            </w:r>
          </w:p>
        </w:tc>
        <w:tc>
          <w:tcPr>
            <w:shd w:fill="c3bd96" w:val="clear"/>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4</w:t>
            </w:r>
          </w:p>
        </w:tc>
      </w:tr>
    </w:tbl>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Precondiţii (acolo unde este cazul)</w:t>
      </w:r>
    </w:p>
    <w:tbl>
      <w:tblPr>
        <w:tblStyle w:val="Table4"/>
        <w:tblW w:w="10207.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8222"/>
        <w:tblGridChange w:id="0">
          <w:tblGrid>
            <w:gridCol w:w="1985"/>
            <w:gridCol w:w="8222"/>
          </w:tblGrid>
        </w:tblGridChange>
      </w:tblGrid>
      <w:tr>
        <w:trPr>
          <w:cantSplit w:val="0"/>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Management organizațional, Managementul programelor educaționale</w:t>
            </w:r>
            <w:r w:rsidDel="00000000" w:rsidR="00000000" w:rsidRPr="00000000">
              <w:rPr>
                <w:rtl w:val="0"/>
              </w:rPr>
            </w:r>
          </w:p>
        </w:tc>
      </w:tr>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4.2 de competenţe</w:t>
            </w:r>
          </w:p>
        </w:tc>
        <w:tc>
          <w:tcPr/>
          <w:p w:rsidR="00000000" w:rsidDel="00000000" w:rsidP="00000000" w:rsidRDefault="00000000" w:rsidRPr="00000000" w14:paraId="0000008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50" w:right="0" w:hanging="35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Competențe de muncă în echipă, sociale, antreprenoriale, de a învăța cum să înveți; gândire critică, strategică, argumentativă.</w:t>
            </w:r>
          </w:p>
        </w:tc>
      </w:tr>
    </w:tbl>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Condiţii (acolo unde este cazul)</w:t>
      </w:r>
    </w:p>
    <w:tbl>
      <w:tblPr>
        <w:tblStyle w:val="Table5"/>
        <w:tblW w:w="10207.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95"/>
        <w:gridCol w:w="5812"/>
        <w:tblGridChange w:id="0">
          <w:tblGrid>
            <w:gridCol w:w="4395"/>
            <w:gridCol w:w="5812"/>
          </w:tblGrid>
        </w:tblGridChange>
      </w:tblGrid>
      <w:tr>
        <w:trPr>
          <w:cantSplit w:val="0"/>
          <w:tblHeader w:val="0"/>
        </w:trPr>
        <w:tc>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5.1 de desfăşurare a cursului</w:t>
            </w:r>
          </w:p>
        </w:tc>
        <w:tc>
          <w:tcPr/>
          <w:p w:rsidR="00000000" w:rsidDel="00000000" w:rsidP="00000000" w:rsidRDefault="00000000" w:rsidRPr="00000000" w14:paraId="0000008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Hibrid, modular, cf orarului. Materialele de curs se incarca pe platforma Classroom </w:t>
            </w:r>
            <w:r w:rsidDel="00000000" w:rsidR="00000000" w:rsidRPr="00000000">
              <w:rPr>
                <w:rtl w:val="0"/>
              </w:rPr>
            </w:r>
          </w:p>
        </w:tc>
      </w:tr>
      <w:tr>
        <w:trPr>
          <w:cantSplit w:val="0"/>
          <w:tblHeader w:val="0"/>
        </w:trPr>
        <w:tc>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5.2 de desfăşurare a seminarului/laboratorului</w:t>
            </w:r>
          </w:p>
        </w:tc>
        <w:tc>
          <w:tcPr/>
          <w:p w:rsidR="00000000" w:rsidDel="00000000" w:rsidP="00000000" w:rsidRDefault="00000000" w:rsidRPr="00000000" w14:paraId="0000009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Hibrid, modular, cf orarului. Materialele de curs se incarca pe platforma Classroom.</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Studentii au nevoie de bună conexiune la internet </w:t>
            </w:r>
          </w:p>
        </w:tc>
      </w:tr>
    </w:tbl>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tblGridChange w:id="0">
          <w:tblGrid>
            <w:gridCol w:w="1699"/>
            <w:gridCol w:w="7690"/>
          </w:tblGrid>
        </w:tblGridChange>
      </w:tblGrid>
      <w:tr>
        <w:trPr>
          <w:cantSplit w:val="1"/>
          <w:trHeight w:val="890" w:hRule="atLeast"/>
          <w:tblHeader w:val="0"/>
        </w:trPr>
        <w:tc>
          <w:tcPr>
            <w:vAlign w:val="center"/>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5">
            <w:pPr>
              <w:tabs>
                <w:tab w:val="left" w:leader="none" w:pos="426"/>
              </w:tabs>
              <w:jc w:val="both"/>
              <w:rPr/>
            </w:pPr>
            <w:r w:rsidDel="00000000" w:rsidR="00000000" w:rsidRPr="00000000">
              <w:rPr>
                <w:rtl w:val="0"/>
              </w:rPr>
              <w:t xml:space="preserve">MEDCRC1 Să cunoască și analizeze critic concepte, teorii, modele specifice managementului strategic şi operaţional.</w:t>
            </w:r>
          </w:p>
          <w:p w:rsidR="00000000" w:rsidDel="00000000" w:rsidP="00000000" w:rsidRDefault="00000000" w:rsidRPr="00000000" w14:paraId="00000096">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MEDCRC3 Să analizeze specificitatea unui management dintr-o instituţie educaţională prin prisma diferitelor domenii de acţiune managerială</w:t>
            </w:r>
          </w:p>
          <w:p w:rsidR="00000000" w:rsidDel="00000000" w:rsidP="00000000" w:rsidRDefault="00000000" w:rsidRPr="00000000" w14:paraId="00000097">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MEDCRC4 Să analizeze critic studii, rapoarte de cercetare, literatură de specialitate privind diferite problematici aferente domeniului, fiind capabil să ofere argumente știintifice, fundamentate pe date de cercetare, pentru diferite aserțiuni.</w:t>
            </w:r>
          </w:p>
          <w:p w:rsidR="00000000" w:rsidDel="00000000" w:rsidP="00000000" w:rsidRDefault="00000000" w:rsidRPr="00000000" w14:paraId="00000098">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MEDCRA8 Să descrie specificitatea instituțională a diverselor instituții de educație formală și non-formală, evidențiind rolul și importanța acestora în ansamblul sistemului național de învățământ, al formulării, implementării și evaluării de politici publice.</w:t>
            </w:r>
          </w:p>
        </w:tc>
      </w:tr>
      <w:tr>
        <w:trPr>
          <w:cantSplit w:val="1"/>
          <w:trHeight w:val="831" w:hRule="atLeast"/>
          <w:tblHeader w:val="0"/>
        </w:trPr>
        <w:tc>
          <w:tcPr>
            <w:vAlign w:val="cente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9A">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MEDCRA1 Să proiecteze strategii manageriale eficiente</w:t>
            </w:r>
          </w:p>
          <w:p w:rsidR="00000000" w:rsidDel="00000000" w:rsidP="00000000" w:rsidRDefault="00000000" w:rsidRPr="00000000" w14:paraId="0000009B">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MEDCRA2 Să elaborareze, implementeze și evalueze strategiile în organizaţiile educaţionale cu scopul dezvoltării unor abordări creative în formularea de soluţii.</w:t>
            </w:r>
          </w:p>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MEDCRA11  Să proiecteze, organizeze, coordoneze, monitorizeze şi evalueze diferite opțiuni educaţionale din prisma valorificării autonomiei școlare și a parteneriatelor educaționale pentru promovarea diferitelor oferte educaționale, întru valorificarea învăţării non şi informale a elevilor, respectiv a intereselor şi individualitatății lor</w:t>
            </w:r>
          </w:p>
          <w:p w:rsidR="00000000" w:rsidDel="00000000" w:rsidP="00000000" w:rsidRDefault="00000000" w:rsidRPr="00000000" w14:paraId="0000009D">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MEDCRA13 Să proiecteze și deruleze intervenții educaționale la nivel organizațional și social</w:t>
            </w:r>
          </w:p>
        </w:tc>
      </w:tr>
      <w:tr>
        <w:trPr>
          <w:cantSplit w:val="1"/>
          <w:trHeight w:val="984" w:hRule="atLeast"/>
          <w:tblHeader w:val="0"/>
        </w:trPr>
        <w:tc>
          <w:tcPr>
            <w:vAlign w:val="center"/>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9F">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MEDCRAR1 Să respecte statutul profesional și codul deontologie al managerului școlar, formatorului</w:t>
            </w:r>
          </w:p>
          <w:p w:rsidR="00000000" w:rsidDel="00000000" w:rsidP="00000000" w:rsidRDefault="00000000" w:rsidRPr="00000000" w14:paraId="000000A0">
            <w:pPr>
              <w:pBdr>
                <w:top w:space="0" w:sz="0" w:val="nil"/>
                <w:left w:space="0" w:sz="0" w:val="nil"/>
                <w:bottom w:space="0" w:sz="0" w:val="nil"/>
                <w:right w:space="0" w:sz="0" w:val="nil"/>
                <w:between w:space="0" w:sz="0" w:val="nil"/>
              </w:pBdr>
              <w:tabs>
                <w:tab w:val="left" w:leader="none" w:pos="426"/>
              </w:tabs>
              <w:jc w:val="both"/>
              <w:rPr/>
            </w:pPr>
            <w:r w:rsidDel="00000000" w:rsidR="00000000" w:rsidRPr="00000000">
              <w:rPr>
                <w:rtl w:val="0"/>
              </w:rPr>
              <w:t xml:space="preserve">MEDCRAR3 Să cultive şi să promoveze  un context de muncă şi viaţă centrat pe valori, etică şi responsabilitate socială</w:t>
            </w:r>
          </w:p>
          <w:p w:rsidR="00000000" w:rsidDel="00000000" w:rsidP="00000000" w:rsidRDefault="00000000" w:rsidRPr="00000000" w14:paraId="000000A1">
            <w:pPr>
              <w:pBdr>
                <w:top w:space="0" w:sz="0" w:val="nil"/>
                <w:left w:space="0" w:sz="0" w:val="nil"/>
                <w:bottom w:space="0" w:sz="0" w:val="nil"/>
                <w:right w:space="0" w:sz="0" w:val="nil"/>
                <w:between w:space="0" w:sz="0" w:val="nil"/>
              </w:pBdr>
              <w:tabs>
                <w:tab w:val="left" w:leader="none" w:pos="426"/>
              </w:tabs>
              <w:ind w:left="-66" w:firstLine="0"/>
              <w:jc w:val="both"/>
              <w:rPr/>
            </w:pPr>
            <w:r w:rsidDel="00000000" w:rsidR="00000000" w:rsidRPr="00000000">
              <w:rPr>
                <w:rtl w:val="0"/>
              </w:rPr>
              <w:t xml:space="preserve">MEDCRAR4 Să gestioneze eficient și etic situațiile conflictuale care pot apărea în școală (conflicte, comportamente problemă, bariere în comunicarea instituțională etc.)</w:t>
            </w:r>
          </w:p>
        </w:tc>
      </w:tr>
    </w:tbl>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Conţinuturi </w:t>
      </w:r>
    </w:p>
    <w:tbl>
      <w:tblPr>
        <w:tblStyle w:val="Table7"/>
        <w:tblW w:w="11177.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90"/>
        <w:gridCol w:w="2069"/>
        <w:gridCol w:w="5118"/>
        <w:tblGridChange w:id="0">
          <w:tblGrid>
            <w:gridCol w:w="3990"/>
            <w:gridCol w:w="2069"/>
            <w:gridCol w:w="5118"/>
          </w:tblGrid>
        </w:tblGridChange>
      </w:tblGrid>
      <w:tr>
        <w:trPr>
          <w:cantSplit w:val="0"/>
          <w:trHeight w:val="142" w:hRule="atLeast"/>
          <w:tblHeader w:val="0"/>
        </w:trPr>
        <w:tc>
          <w:tcPr>
            <w:shd w:fill="c3bd96" w:val="clear"/>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8.1 Curs</w:t>
            </w:r>
          </w:p>
        </w:tc>
        <w:tc>
          <w:tcPr/>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Metode de predare</w:t>
            </w:r>
          </w:p>
        </w:tc>
        <w:tc>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Observaţii</w:t>
            </w:r>
          </w:p>
        </w:tc>
      </w:tr>
      <w:tr>
        <w:trPr>
          <w:cantSplit w:val="0"/>
          <w:trHeight w:val="142" w:hRule="atLeast"/>
          <w:tblHeader w:val="0"/>
        </w:trPr>
        <w:tc>
          <w:tcPr>
            <w:shd w:fill="c3bd96" w:val="clear"/>
          </w:tcPr>
          <w:p w:rsidR="00000000" w:rsidDel="00000000" w:rsidP="00000000" w:rsidRDefault="00000000" w:rsidRPr="00000000" w14:paraId="000000A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Curs introductiv (1/2 oră)</w:t>
            </w:r>
          </w:p>
        </w:tc>
        <w:tc>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w:t>
            </w:r>
          </w:p>
        </w:tc>
        <w:tc>
          <w:tcPr/>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 ce o astfel de disciplină? Structura cursului - FD, metodologia de lucru, modul de examinare, bibliografie, resurse Web, eval inițială</w:t>
            </w:r>
          </w:p>
        </w:tc>
      </w:tr>
      <w:tr>
        <w:trPr>
          <w:cantSplit w:val="0"/>
          <w:trHeight w:val="142" w:hRule="atLeast"/>
          <w:tblHeader w:val="0"/>
        </w:trPr>
        <w:tc>
          <w:tcPr>
            <w:shd w:fill="c3bd96" w:val="clear"/>
          </w:tcPr>
          <w:p w:rsidR="00000000" w:rsidDel="00000000" w:rsidP="00000000" w:rsidRDefault="00000000" w:rsidRPr="00000000" w14:paraId="000000A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Problematica politicilor educaționale; politici educaționale ca politici publice care adresează diversitatea sistemului educațional (11/2h). </w:t>
            </w:r>
          </w:p>
        </w:tc>
        <w:tc>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w:t>
            </w:r>
          </w:p>
        </w:tc>
        <w:tc>
          <w:tcPr/>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Delimitări conceptuale: politici educaționale, strategii, legi/ acte normative, măsuri de implementare, plan de acțiune, ținte strategice etc. </w:t>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Nicu (p.37-45), Antonesei (p.11-13), Crețu (p.5-11), OECD (2016, 2020), Sava (2019) </w:t>
            </w:r>
          </w:p>
        </w:tc>
      </w:tr>
      <w:tr>
        <w:trPr>
          <w:cantSplit w:val="0"/>
          <w:trHeight w:val="142" w:hRule="atLeast"/>
          <w:tblHeader w:val="0"/>
        </w:trPr>
        <w:tc>
          <w:tcPr>
            <w:shd w:fill="c3bd96" w:val="clear"/>
          </w:tcPr>
          <w:p w:rsidR="00000000" w:rsidDel="00000000" w:rsidP="00000000" w:rsidRDefault="00000000" w:rsidRPr="00000000" w14:paraId="000000A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Analiza politicilor educaționale ca politici publice; articularea lor cu politicile sociale, economice, culturale etc. pe parcursul diferitelor cicluri de viață ale individului (1h)</w:t>
            </w:r>
          </w:p>
        </w:tc>
        <w:tc>
          <w:tcPr/>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exemplificare, studiu de caz</w:t>
            </w:r>
          </w:p>
        </w:tc>
        <w:tc>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Sistemul de învățământ ca subsistem al societății; interdependențe ale politicilor educaționale cu alte politici publice.</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Guvernanța sistemului educațional și politici educaționale la nivelul școlii/ local/ regional. Articulare orizontală și verticală. Prelegere invitată (Notă: data va fi decisa în funcție de disponibilitatea profesorului invitat din străinatate)</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Vlăsceanu (p. 53-58), Sava (2020)</w:t>
            </w:r>
          </w:p>
        </w:tc>
      </w:tr>
      <w:tr>
        <w:trPr>
          <w:cantSplit w:val="0"/>
          <w:trHeight w:val="142" w:hRule="atLeast"/>
          <w:tblHeader w:val="0"/>
        </w:trPr>
        <w:tc>
          <w:tcPr>
            <w:shd w:fill="c3bd96" w:val="clear"/>
          </w:tcPr>
          <w:p w:rsidR="00000000" w:rsidDel="00000000" w:rsidP="00000000" w:rsidRDefault="00000000" w:rsidRPr="00000000" w14:paraId="000000B3">
            <w:pPr>
              <w:numPr>
                <w:ilvl w:val="0"/>
                <w:numId w:val="7"/>
              </w:numPr>
              <w:spacing w:after="0" w:line="240" w:lineRule="auto"/>
              <w:ind w:left="36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Elaborarea politicilor educaționale ca management strategic. Politicile educaționale ca viziune asupra viitorilor educaționali (1h)</w:t>
            </w:r>
          </w:p>
        </w:tc>
        <w:tc>
          <w:tcPr/>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dezbatere</w:t>
            </w:r>
          </w:p>
        </w:tc>
        <w:tc>
          <w:tcPr/>
          <w:p w:rsidR="00000000" w:rsidDel="00000000" w:rsidP="00000000" w:rsidRDefault="00000000" w:rsidRPr="00000000" w14:paraId="000000B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Politicile educaționale ca ilustrare a unei viziuni despre viitor. Elaborarea politicilor publice informată de date. Reforma și inovarea educațională.</w:t>
            </w:r>
          </w:p>
          <w:p w:rsidR="00000000" w:rsidDel="00000000" w:rsidP="00000000" w:rsidRDefault="00000000" w:rsidRPr="00000000" w14:paraId="000000B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Ciclul politicilor publice </w:t>
            </w:r>
          </w:p>
          <w:p w:rsidR="00000000" w:rsidDel="00000000" w:rsidP="00000000" w:rsidRDefault="00000000" w:rsidRPr="00000000" w14:paraId="000000B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Bondar (2009), Sava (2022), Fullan (2021), Faturșnic (2015); </w:t>
            </w:r>
            <w:r w:rsidDel="00000000" w:rsidR="00000000" w:rsidRPr="00000000">
              <w:rPr>
                <w:rFonts w:ascii="Calibri" w:cs="Calibri" w:eastAsia="Calibri" w:hAnsi="Calibri"/>
                <w:sz w:val="20"/>
                <w:szCs w:val="20"/>
                <w:rtl w:val="0"/>
              </w:rPr>
              <w:t xml:space="preserve">Pellegrini, Vivanet (2021)</w:t>
            </w:r>
            <w:r w:rsidDel="00000000" w:rsidR="00000000" w:rsidRPr="00000000">
              <w:rPr>
                <w:sz w:val="20"/>
                <w:szCs w:val="20"/>
                <w:rtl w:val="0"/>
              </w:rPr>
              <w:t xml:space="preserve">;</w:t>
            </w:r>
            <w:r w:rsidDel="00000000" w:rsidR="00000000" w:rsidRPr="00000000">
              <w:rPr>
                <w:rFonts w:ascii="Calibri" w:cs="Calibri" w:eastAsia="Calibri" w:hAnsi="Calibri"/>
                <w:sz w:val="20"/>
                <w:szCs w:val="20"/>
                <w:rtl w:val="0"/>
              </w:rPr>
              <w:t xml:space="preserve"> Tîrcă </w:t>
            </w:r>
            <w:r w:rsidDel="00000000" w:rsidR="00000000" w:rsidRPr="00000000">
              <w:rPr>
                <w:sz w:val="20"/>
                <w:szCs w:val="20"/>
                <w:rtl w:val="0"/>
              </w:rPr>
              <w:t xml:space="preserve">(2025)</w:t>
            </w:r>
            <w:r w:rsidDel="00000000" w:rsidR="00000000" w:rsidRPr="00000000">
              <w:rPr>
                <w:rtl w:val="0"/>
              </w:rPr>
            </w:r>
          </w:p>
        </w:tc>
      </w:tr>
      <w:tr>
        <w:trPr>
          <w:cantSplit w:val="0"/>
          <w:trHeight w:val="142" w:hRule="atLeast"/>
          <w:tblHeader w:val="0"/>
        </w:trPr>
        <w:tc>
          <w:tcPr>
            <w:shd w:fill="c3bd96" w:val="clear"/>
          </w:tcPr>
          <w:p w:rsidR="00000000" w:rsidDel="00000000" w:rsidP="00000000" w:rsidRDefault="00000000" w:rsidRPr="00000000" w14:paraId="000000B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Articularea cererii și ofertei educaționale prin formularea de politici educaționale. Factorii interesati si rolul lor in formularea politicilor publice (2h)</w:t>
            </w:r>
          </w:p>
        </w:tc>
        <w:tc>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dezbatere</w:t>
            </w:r>
          </w:p>
        </w:tc>
        <w:tc>
          <w:tcPr/>
          <w:p w:rsidR="00000000" w:rsidDel="00000000" w:rsidP="00000000" w:rsidRDefault="00000000" w:rsidRPr="00000000" w14:paraId="000000B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Diagnoza problemelor strategice în domeniul educației. Factorii interesati si rolul lor in formularea de politici educaționale.</w:t>
            </w:r>
          </w:p>
          <w:p w:rsidR="00000000" w:rsidDel="00000000" w:rsidP="00000000" w:rsidRDefault="00000000" w:rsidRPr="00000000" w14:paraId="000000B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Fundamentări acte normative (ex. Legea 1/2011)</w:t>
            </w:r>
          </w:p>
          <w:p w:rsidR="00000000" w:rsidDel="00000000" w:rsidP="00000000" w:rsidRDefault="00000000" w:rsidRPr="00000000" w14:paraId="000000B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Basarab (2020), </w:t>
            </w:r>
            <w:r w:rsidDel="00000000" w:rsidR="00000000" w:rsidRPr="00000000">
              <w:rPr>
                <w:rFonts w:ascii="Calibri" w:cs="Calibri" w:eastAsia="Calibri" w:hAnsi="Calibri"/>
                <w:sz w:val="20"/>
                <w:szCs w:val="20"/>
                <w:rtl w:val="0"/>
              </w:rPr>
              <w:t xml:space="preserve">Bergh (2015)</w:t>
            </w:r>
            <w:r w:rsidDel="00000000" w:rsidR="00000000" w:rsidRPr="00000000">
              <w:rPr>
                <w:rtl w:val="0"/>
              </w:rPr>
            </w:r>
          </w:p>
        </w:tc>
      </w:tr>
      <w:tr>
        <w:trPr>
          <w:cantSplit w:val="0"/>
          <w:trHeight w:val="142" w:hRule="atLeast"/>
          <w:tblHeader w:val="0"/>
        </w:trPr>
        <w:tc>
          <w:tcPr>
            <w:shd w:fill="c3bd96" w:val="clear"/>
          </w:tcPr>
          <w:p w:rsidR="00000000" w:rsidDel="00000000" w:rsidP="00000000" w:rsidRDefault="00000000" w:rsidRPr="00000000" w14:paraId="000000B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Designul politicilor și instrumente de politici (2h) </w:t>
            </w:r>
          </w:p>
        </w:tc>
        <w:tc>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w:t>
            </w:r>
          </w:p>
        </w:tc>
        <w:tc>
          <w:tcPr/>
          <w:p w:rsidR="00000000" w:rsidDel="00000000" w:rsidP="00000000" w:rsidRDefault="00000000" w:rsidRPr="00000000" w14:paraId="000000B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Ilustrări de diferite tipuri de instrumente și măsuri de politică educațională. Analize ex-ante, ex-post.</w:t>
            </w:r>
          </w:p>
          <w:p w:rsidR="00000000" w:rsidDel="00000000" w:rsidP="00000000" w:rsidRDefault="00000000" w:rsidRPr="00000000" w14:paraId="000000C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Studiu de caz: politici de educație timpurie </w:t>
            </w:r>
          </w:p>
          <w:p w:rsidR="00000000" w:rsidDel="00000000" w:rsidP="00000000" w:rsidRDefault="00000000" w:rsidRPr="00000000" w14:paraId="000000C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Bondar (2009), Ciolan și alții (2009). Suport de curs), Vlăsceanu (21-52), Clipa (2023); Ulrich-Hygum (2012, 2020, 2023).</w:t>
            </w:r>
          </w:p>
        </w:tc>
      </w:tr>
      <w:tr>
        <w:trPr>
          <w:cantSplit w:val="0"/>
          <w:trHeight w:val="142" w:hRule="atLeast"/>
          <w:tblHeader w:val="0"/>
        </w:trPr>
        <w:tc>
          <w:tcPr>
            <w:shd w:fill="c3bd96" w:val="clear"/>
          </w:tcPr>
          <w:p w:rsidR="00000000" w:rsidDel="00000000" w:rsidP="00000000" w:rsidRDefault="00000000" w:rsidRPr="00000000" w14:paraId="000000C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Politici privind dreptul la educație și egalitatea în educație (echitate, incluziune școlară, educația pentru toți, prevenirea abandonului școlar) (1h)</w:t>
            </w:r>
          </w:p>
        </w:tc>
        <w:tc>
          <w:tcPr/>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dezbatere</w:t>
            </w:r>
          </w:p>
        </w:tc>
        <w:tc>
          <w:tcPr/>
          <w:p w:rsidR="00000000" w:rsidDel="00000000" w:rsidP="00000000" w:rsidRDefault="00000000" w:rsidRPr="00000000" w14:paraId="000000C4">
            <w:pPr>
              <w:spacing w:after="0" w:line="240" w:lineRule="auto"/>
              <w:jc w:val="both"/>
              <w:rPr/>
            </w:pPr>
            <w:r w:rsidDel="00000000" w:rsidR="00000000" w:rsidRPr="00000000">
              <w:rPr>
                <w:rtl w:val="0"/>
              </w:rPr>
              <w:t xml:space="preserve">Prezentări și analize critice de politici educaționale pe diferite problematici. </w:t>
            </w:r>
          </w:p>
          <w:p w:rsidR="00000000" w:rsidDel="00000000" w:rsidP="00000000" w:rsidRDefault="00000000" w:rsidRPr="00000000" w14:paraId="000000C5">
            <w:pPr>
              <w:spacing w:after="0" w:line="240" w:lineRule="auto"/>
              <w:jc w:val="both"/>
              <w:rPr>
                <w:rFonts w:ascii="Arial Narrow" w:cs="Arial Narrow" w:eastAsia="Arial Narrow" w:hAnsi="Arial Narrow"/>
              </w:rPr>
            </w:pPr>
            <w:r w:rsidDel="00000000" w:rsidR="00000000" w:rsidRPr="00000000">
              <w:rPr>
                <w:rtl w:val="0"/>
              </w:rPr>
              <w:t xml:space="preserve">Personalizare și diferențiere; echitate și incluziune ; calitate și eficiență în politicile educ. Indicel</w:t>
            </w:r>
            <w:r w:rsidDel="00000000" w:rsidR="00000000" w:rsidRPr="00000000">
              <w:rPr>
                <w:rFonts w:ascii="Arial Narrow" w:cs="Arial Narrow" w:eastAsia="Arial Narrow" w:hAnsi="Arial Narrow"/>
                <w:rtl w:val="0"/>
              </w:rPr>
              <w:t xml:space="preserve">e incluziunii</w:t>
            </w:r>
          </w:p>
          <w:p w:rsidR="00000000" w:rsidDel="00000000" w:rsidP="00000000" w:rsidRDefault="00000000" w:rsidRPr="00000000" w14:paraId="000000C6">
            <w:pPr>
              <w:spacing w:after="0" w:line="240" w:lineRule="auto"/>
              <w:jc w:val="both"/>
              <w:rPr>
                <w:rFonts w:ascii="Times New Roman" w:cs="Times New Roman" w:eastAsia="Times New Roman" w:hAnsi="Times New Roman"/>
              </w:rPr>
            </w:pPr>
            <w:r w:rsidDel="00000000" w:rsidR="00000000" w:rsidRPr="00000000">
              <w:rPr>
                <w:rFonts w:ascii="Arial Narrow" w:cs="Arial Narrow" w:eastAsia="Arial Narrow" w:hAnsi="Arial Narrow"/>
                <w:rtl w:val="0"/>
              </w:rPr>
              <w:t xml:space="preserve">Vlăsceanu (87-110), European Commission (2020), </w:t>
            </w:r>
            <w:r w:rsidDel="00000000" w:rsidR="00000000" w:rsidRPr="00000000">
              <w:rPr>
                <w:rFonts w:ascii="Arial Narrow" w:cs="Arial Narrow" w:eastAsia="Arial Narrow" w:hAnsi="Arial Narrow"/>
                <w:sz w:val="20"/>
                <w:szCs w:val="20"/>
                <w:rtl w:val="0"/>
              </w:rPr>
              <w:t xml:space="preserve">Freeman, Simonsen (2015), Gale, Molla (2015), OECD (2017). Jurcă, Sava (2023), Tuparevska și alții, (2019)</w:t>
            </w:r>
            <w:r w:rsidDel="00000000" w:rsidR="00000000" w:rsidRPr="00000000">
              <w:rPr>
                <w:rtl w:val="0"/>
              </w:rPr>
            </w:r>
          </w:p>
        </w:tc>
      </w:tr>
      <w:tr>
        <w:trPr>
          <w:cantSplit w:val="0"/>
          <w:trHeight w:val="142" w:hRule="atLeast"/>
          <w:tblHeader w:val="0"/>
        </w:trPr>
        <w:tc>
          <w:tcPr>
            <w:shd w:fill="c3bd96" w:val="clear"/>
          </w:tcPr>
          <w:p w:rsidR="00000000" w:rsidDel="00000000" w:rsidP="00000000" w:rsidRDefault="00000000" w:rsidRPr="00000000" w14:paraId="000000C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Politici de gestiune a sistemului educațional: reforma, schimbare și dezvoltare a sistemului educațional, centralizare vs. descentralizare (1h)</w:t>
            </w:r>
          </w:p>
        </w:tc>
        <w:tc>
          <w:tcPr/>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dezbatere</w:t>
            </w:r>
          </w:p>
        </w:tc>
        <w:tc>
          <w:tcPr/>
          <w:p w:rsidR="00000000" w:rsidDel="00000000" w:rsidP="00000000" w:rsidRDefault="00000000" w:rsidRPr="00000000" w14:paraId="000000C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Politici de arhitectură instituțională și construire de capacitatăți, de funcționarea școlii; guvernanța sistemului educațional/ a școlii. </w:t>
            </w:r>
          </w:p>
          <w:p w:rsidR="00000000" w:rsidDel="00000000" w:rsidP="00000000" w:rsidRDefault="00000000" w:rsidRPr="00000000" w14:paraId="000000C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Politici sistemice/ la nivelul școlii.</w:t>
            </w:r>
          </w:p>
          <w:p w:rsidR="00000000" w:rsidDel="00000000" w:rsidP="00000000" w:rsidRDefault="00000000" w:rsidRPr="00000000" w14:paraId="000000CB">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Crișan (2006), V.d.Sluis și alții (2016); Legea 198/2023; Tîrcă (2025).</w:t>
            </w:r>
          </w:p>
        </w:tc>
      </w:tr>
      <w:tr>
        <w:trPr>
          <w:cantSplit w:val="0"/>
          <w:trHeight w:val="142" w:hRule="atLeast"/>
          <w:tblHeader w:val="0"/>
        </w:trPr>
        <w:tc>
          <w:tcPr>
            <w:shd w:fill="c3bd96" w:val="clear"/>
          </w:tcPr>
          <w:p w:rsidR="00000000" w:rsidDel="00000000" w:rsidP="00000000" w:rsidRDefault="00000000" w:rsidRPr="00000000" w14:paraId="000000C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Politici de formare a cadrelor didactice (1h)</w:t>
            </w:r>
          </w:p>
        </w:tc>
        <w:tc>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Conferință, studii de caz, dezbatere</w:t>
            </w:r>
          </w:p>
        </w:tc>
        <w:tc>
          <w:tcPr/>
          <w:p w:rsidR="00000000" w:rsidDel="00000000" w:rsidP="00000000" w:rsidRDefault="00000000" w:rsidRPr="00000000" w14:paraId="000000C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Calitatea profesorilor. Recrutare. Formare – calificare. Viziunea despre un bun profesor. Retenție. Support. Dezvoltare profesională etc.</w:t>
            </w:r>
          </w:p>
          <w:p w:rsidR="00000000" w:rsidDel="00000000" w:rsidP="00000000" w:rsidRDefault="00000000" w:rsidRPr="00000000" w14:paraId="000000D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Iucu și alții (2021), Scorțescu, Sava, C. (2023); World Bank (2023). </w:t>
            </w:r>
          </w:p>
        </w:tc>
      </w:tr>
      <w:tr>
        <w:trPr>
          <w:cantSplit w:val="0"/>
          <w:trHeight w:val="142" w:hRule="atLeast"/>
          <w:tblHeader w:val="0"/>
        </w:trPr>
        <w:tc>
          <w:tcPr>
            <w:shd w:fill="c3bd96" w:val="clear"/>
          </w:tcPr>
          <w:p w:rsidR="00000000" w:rsidDel="00000000" w:rsidP="00000000" w:rsidRDefault="00000000" w:rsidRPr="00000000" w14:paraId="000000D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Politici privind învățarea de-a lungul întregii vieți. (1h)</w:t>
            </w:r>
          </w:p>
        </w:tc>
        <w:tc>
          <w:tcPr/>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dezbatere</w:t>
            </w:r>
          </w:p>
        </w:tc>
        <w:tc>
          <w:tcPr/>
          <w:p w:rsidR="00000000" w:rsidDel="00000000" w:rsidP="00000000" w:rsidRDefault="00000000" w:rsidRPr="00000000" w14:paraId="000000D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Analiză structurală, curriculară, a resurselor umane, etc. Beneficii ale învățării de-a lungul întregii vieți.</w:t>
            </w:r>
          </w:p>
          <w:p w:rsidR="00000000" w:rsidDel="00000000" w:rsidP="00000000" w:rsidRDefault="00000000" w:rsidRPr="00000000" w14:paraId="000000D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Sava (2019). Sava, Crașovan (2017), ME (2024).</w:t>
            </w:r>
          </w:p>
        </w:tc>
      </w:tr>
      <w:tr>
        <w:trPr>
          <w:cantSplit w:val="0"/>
          <w:trHeight w:val="142" w:hRule="atLeast"/>
          <w:tblHeader w:val="0"/>
        </w:trPr>
        <w:tc>
          <w:tcPr>
            <w:shd w:fill="c3bd96" w:val="clear"/>
          </w:tcPr>
          <w:p w:rsidR="00000000" w:rsidDel="00000000" w:rsidP="00000000" w:rsidRDefault="00000000" w:rsidRPr="00000000" w14:paraId="000000D5">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Articularea demersurilor românești cu cele europene în stabilirea priorităților de politică educațională (1h)</w:t>
            </w:r>
          </w:p>
        </w:tc>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Prelegere, conversație, dezbatere</w:t>
            </w:r>
          </w:p>
        </w:tc>
        <w:tc>
          <w:tcPr/>
          <w:p w:rsidR="00000000" w:rsidDel="00000000" w:rsidP="00000000" w:rsidRDefault="00000000" w:rsidRPr="00000000" w14:paraId="000000D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Compatibilizarea sistemului educaţional naţional cu cel european: provocări, bune practici, reflecţii critice - prelegere de sinteză</w:t>
            </w:r>
          </w:p>
        </w:tc>
      </w:tr>
      <w:tr>
        <w:trPr>
          <w:cantSplit w:val="0"/>
          <w:trHeight w:val="142" w:hRule="atLeast"/>
          <w:tblHeader w:val="0"/>
        </w:trPr>
        <w:tc>
          <w:tcPr>
            <w:gridSpan w:val="3"/>
            <w:shd w:fill="c3bd96" w:val="clear"/>
          </w:tcPr>
          <w:p w:rsidR="00000000" w:rsidDel="00000000" w:rsidP="00000000" w:rsidRDefault="00000000" w:rsidRPr="00000000" w14:paraId="000000D8">
            <w:pPr>
              <w:spacing w:after="0" w:line="240" w:lineRule="auto"/>
              <w:ind w:left="360" w:firstLine="0"/>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D9">
            <w:pPr>
              <w:spacing w:after="0" w:line="240" w:lineRule="auto"/>
              <w:ind w:left="360" w:firstLine="0"/>
              <w:jc w:val="both"/>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BIBLIOGRAFIE SELECTIVĂ </w:t>
            </w:r>
          </w:p>
          <w:p w:rsidR="00000000" w:rsidDel="00000000" w:rsidP="00000000" w:rsidRDefault="00000000" w:rsidRPr="00000000" w14:paraId="000000DA">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Antonesei, L. (2005). </w:t>
            </w:r>
            <w:r w:rsidDel="00000000" w:rsidR="00000000" w:rsidRPr="00000000">
              <w:rPr>
                <w:rFonts w:ascii="Calibri" w:cs="Calibri" w:eastAsia="Calibri" w:hAnsi="Calibri"/>
                <w:i w:val="1"/>
                <w:iCs w:val="1"/>
                <w:sz w:val="20"/>
                <w:szCs w:val="20"/>
                <w:rtl w:val="0"/>
              </w:rPr>
              <w:t xml:space="preserve">Polis si paideia, </w:t>
            </w:r>
            <w:r w:rsidDel="00000000" w:rsidR="00000000" w:rsidRPr="00000000">
              <w:rPr>
                <w:rFonts w:ascii="Calibri" w:cs="Calibri" w:eastAsia="Calibri" w:hAnsi="Calibri"/>
                <w:sz w:val="20"/>
                <w:szCs w:val="20"/>
                <w:rtl w:val="0"/>
              </w:rPr>
              <w:t xml:space="preserve">Ed. Polirom, Iasi;</w:t>
            </w:r>
          </w:p>
          <w:p w:rsidR="00000000" w:rsidDel="00000000" w:rsidP="00000000" w:rsidRDefault="00000000" w:rsidRPr="00000000" w14:paraId="000000DB">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Ball, S., Maguire, M., Braun, A. (2012). </w:t>
            </w:r>
            <w:r w:rsidDel="00000000" w:rsidR="00000000" w:rsidRPr="00000000">
              <w:rPr>
                <w:rFonts w:ascii="Calibri" w:cs="Calibri" w:eastAsia="Calibri" w:hAnsi="Calibri"/>
                <w:i w:val="1"/>
                <w:iCs w:val="1"/>
                <w:sz w:val="20"/>
                <w:szCs w:val="20"/>
                <w:rtl w:val="0"/>
              </w:rPr>
              <w:t xml:space="preserve">How Schools Do Policy: Policy Enactments in Secondary Schools</w:t>
            </w:r>
            <w:r w:rsidDel="00000000" w:rsidR="00000000" w:rsidRPr="00000000">
              <w:rPr>
                <w:rFonts w:ascii="Calibri" w:cs="Calibri" w:eastAsia="Calibri" w:hAnsi="Calibri"/>
                <w:sz w:val="20"/>
                <w:szCs w:val="20"/>
                <w:rtl w:val="0"/>
              </w:rPr>
              <w:t xml:space="preserve">. London: Routledge.</w:t>
            </w:r>
          </w:p>
          <w:p w:rsidR="00000000" w:rsidDel="00000000" w:rsidP="00000000" w:rsidRDefault="00000000" w:rsidRPr="00000000" w14:paraId="000000DC">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Basarab, T. (2020, coord.). </w:t>
            </w:r>
            <w:hyperlink r:id="rId7">
              <w:r w:rsidDel="00000000" w:rsidR="00000000" w:rsidRPr="00000000">
                <w:rPr>
                  <w:i w:val="1"/>
                  <w:iCs w:val="1"/>
                  <w:color w:val="0000ff"/>
                  <w:u w:val="single"/>
                  <w:rtl w:val="0"/>
                </w:rPr>
                <w:t xml:space="preserve">Youth policy evaluation review</w:t>
              </w:r>
            </w:hyperlink>
            <w:r w:rsidDel="00000000" w:rsidR="00000000" w:rsidRPr="00000000">
              <w:rPr>
                <w:i w:val="1"/>
                <w:iCs w:val="1"/>
                <w:rtl w:val="0"/>
              </w:rPr>
              <w:t xml:space="preserv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DD">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Bădescu, G., Gog, S., Tufiș, C. (2022). </w:t>
            </w:r>
            <w:hyperlink r:id="rId8">
              <w:r w:rsidDel="00000000" w:rsidR="00000000" w:rsidRPr="00000000">
                <w:rPr>
                  <w:rFonts w:ascii="Calibri" w:cs="Calibri" w:eastAsia="Calibri" w:hAnsi="Calibri"/>
                  <w:i w:val="1"/>
                  <w:iCs w:val="1"/>
                  <w:color w:val="0000ff"/>
                  <w:sz w:val="20"/>
                  <w:szCs w:val="20"/>
                  <w:u w:val="single"/>
                  <w:rtl w:val="0"/>
                </w:rPr>
                <w:t xml:space="preserve">Atitudini și valori de tip progresist în România</w:t>
              </w:r>
            </w:hyperlink>
            <w:r w:rsidDel="00000000" w:rsidR="00000000" w:rsidRPr="00000000">
              <w:rPr>
                <w:rFonts w:ascii="Calibri" w:cs="Calibri" w:eastAsia="Calibri" w:hAnsi="Calibri"/>
                <w:sz w:val="20"/>
                <w:szCs w:val="20"/>
                <w:rtl w:val="0"/>
              </w:rPr>
              <w:t xml:space="preserve">. Friedrich Ebert Stiftung, București. </w:t>
            </w:r>
          </w:p>
          <w:p w:rsidR="00000000" w:rsidDel="00000000" w:rsidP="00000000" w:rsidRDefault="00000000" w:rsidRPr="00000000" w14:paraId="000000DE">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Bergh, A. (2015). Local educational actors doing of education – a study of how local autonomy meets international and national quality policy rhetoric, </w:t>
            </w:r>
            <w:r w:rsidDel="00000000" w:rsidR="00000000" w:rsidRPr="00000000">
              <w:rPr>
                <w:rFonts w:ascii="Calibri" w:cs="Calibri" w:eastAsia="Calibri" w:hAnsi="Calibri"/>
                <w:i w:val="1"/>
                <w:iCs w:val="1"/>
                <w:sz w:val="20"/>
                <w:szCs w:val="20"/>
                <w:rtl w:val="0"/>
              </w:rPr>
              <w:t xml:space="preserve">Nordic Journal of Studies in Educational Policy</w:t>
            </w:r>
            <w:r w:rsidDel="00000000" w:rsidR="00000000" w:rsidRPr="00000000">
              <w:rPr>
                <w:rFonts w:ascii="Calibri" w:cs="Calibri" w:eastAsia="Calibri" w:hAnsi="Calibri"/>
                <w:sz w:val="20"/>
                <w:szCs w:val="20"/>
                <w:rtl w:val="0"/>
              </w:rPr>
              <w:t xml:space="preserve">, 2015:2, 28146</w:t>
            </w:r>
          </w:p>
          <w:p w:rsidR="00000000" w:rsidDel="00000000" w:rsidP="00000000" w:rsidRDefault="00000000" w:rsidRPr="00000000" w14:paraId="000000DF">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Bondar. F., Iorga, E. (2009). Metode si tehnici de elaborare, monitorizare si evaluare a politicilor publice. Bucuresti: Institutul de Politici Publice.</w:t>
            </w:r>
          </w:p>
          <w:p w:rsidR="00000000" w:rsidDel="00000000" w:rsidP="00000000" w:rsidRDefault="00000000" w:rsidRPr="00000000" w14:paraId="000000E0">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Ciolan, L., Ulrich, C. Et all. (2009). Manual pentru evaluarea ex-ante a impactului politicilor educaționale. București : SGG.</w:t>
            </w:r>
          </w:p>
          <w:p w:rsidR="00000000" w:rsidDel="00000000" w:rsidP="00000000" w:rsidRDefault="00000000" w:rsidRPr="00000000" w14:paraId="000000E1">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Clipa, O. (2023). </w:t>
            </w:r>
            <w:r w:rsidDel="00000000" w:rsidR="00000000" w:rsidRPr="00000000">
              <w:rPr>
                <w:rtl w:val="0"/>
              </w:rPr>
              <w:t xml:space="preserve">Educația timpurie — necesitate, politici educaționale și strategii naționale de formare a profesioniștilor. În O. Clipa (Coord.). </w:t>
            </w:r>
            <w:hyperlink r:id="rId9">
              <w:r w:rsidDel="00000000" w:rsidR="00000000" w:rsidRPr="00000000">
                <w:rPr>
                  <w:rFonts w:ascii="Calibri" w:cs="Calibri" w:eastAsia="Calibri" w:hAnsi="Calibri"/>
                  <w:color w:val="0000ff"/>
                  <w:sz w:val="20"/>
                  <w:szCs w:val="20"/>
                  <w:u w:val="single"/>
                  <w:rtl w:val="0"/>
                </w:rPr>
                <w:t xml:space="preserve">Educația timpurie. Resurse pentru dezvoltarea practicienilor</w:t>
              </w:r>
            </w:hyperlink>
            <w:r w:rsidDel="00000000" w:rsidR="00000000" w:rsidRPr="00000000">
              <w:rPr>
                <w:rFonts w:ascii="Calibri" w:cs="Calibri" w:eastAsia="Calibri" w:hAnsi="Calibri"/>
                <w:sz w:val="20"/>
                <w:szCs w:val="20"/>
                <w:rtl w:val="0"/>
              </w:rPr>
              <w:t xml:space="preserve">. pp.11-32. Ed. Trei. </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Commonwealth of Learning (2020). </w:t>
            </w: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Sustainable Development and Education in the Fourth Industrial Revolution</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(4IR). </w:t>
            </w:r>
            <w:hyperlink r:id="rId10">
              <w:r w:rsidDel="00000000" w:rsidR="00000000" w:rsidRPr="00000000">
                <w:rPr>
                  <w:rFonts w:ascii="Times New Roman" w:cs="Times New Roman" w:eastAsia="Times New Roman" w:hAnsi="Times New Roman"/>
                  <w:b w:val="0"/>
                  <w:bCs w:val="0"/>
                  <w:i w:val="0"/>
                  <w:iCs w:val="0"/>
                  <w:smallCaps w:val="0"/>
                  <w:strike w:val="0"/>
                  <w:color w:val="0000ff"/>
                  <w:sz w:val="20"/>
                  <w:szCs w:val="20"/>
                  <w:u w:val="single"/>
                  <w:shd w:fill="auto" w:val="clear"/>
                  <w:vertAlign w:val="baseline"/>
                  <w:rtl w:val="0"/>
                </w:rPr>
                <w:t xml:space="preserve">http://oasis.col.org/bitstream/handle/11599/3698/2020_Ally_Wark_SustainDev_in_4IR.pdf?sequence=1&amp;isAllowed=y</w:t>
              </w:r>
            </w:hyperlink>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E3">
            <w:pPr>
              <w:spacing w:after="0" w:line="24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Cretu, C., Duse, C.S., Gavrilovici, O., Isan, V., Seghedin, N. (2011). </w:t>
            </w:r>
            <w:r w:rsidDel="00000000" w:rsidR="00000000" w:rsidRPr="00000000">
              <w:rPr>
                <w:rFonts w:ascii="Calibri" w:cs="Calibri" w:eastAsia="Calibri" w:hAnsi="Calibri"/>
                <w:i w:val="1"/>
                <w:iCs w:val="1"/>
                <w:sz w:val="20"/>
                <w:szCs w:val="20"/>
                <w:rtl w:val="0"/>
              </w:rPr>
              <w:t xml:space="preserve">Politici educationale în spatiul universitar</w:t>
            </w:r>
            <w:r w:rsidDel="00000000" w:rsidR="00000000" w:rsidRPr="00000000">
              <w:rPr>
                <w:rFonts w:ascii="Calibri" w:cs="Calibri" w:eastAsia="Calibri" w:hAnsi="Calibri"/>
                <w:sz w:val="20"/>
                <w:szCs w:val="20"/>
                <w:rtl w:val="0"/>
              </w:rPr>
              <w:t xml:space="preserve">. Bucuresti: UEFISCDI</w:t>
            </w:r>
          </w:p>
          <w:p w:rsidR="00000000" w:rsidDel="00000000" w:rsidP="00000000" w:rsidRDefault="00000000" w:rsidRPr="00000000" w14:paraId="000000E4">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Crișan Al. (coord., 2006), </w:t>
            </w:r>
            <w:r w:rsidDel="00000000" w:rsidR="00000000" w:rsidRPr="00000000">
              <w:rPr>
                <w:rFonts w:ascii="Calibri" w:cs="Calibri" w:eastAsia="Calibri" w:hAnsi="Calibri"/>
                <w:i w:val="1"/>
                <w:iCs w:val="1"/>
                <w:sz w:val="20"/>
                <w:szCs w:val="20"/>
                <w:rtl w:val="0"/>
              </w:rPr>
              <w:t xml:space="preserve">Patru exerciții de politică educațională în România, </w:t>
            </w:r>
            <w:r w:rsidDel="00000000" w:rsidR="00000000" w:rsidRPr="00000000">
              <w:rPr>
                <w:rFonts w:ascii="Calibri" w:cs="Calibri" w:eastAsia="Calibri" w:hAnsi="Calibri"/>
                <w:sz w:val="20"/>
                <w:szCs w:val="20"/>
                <w:rtl w:val="0"/>
              </w:rPr>
              <w:t xml:space="preserve">Educația 2000+, Ed. Humanitas educațional, București;</w:t>
            </w:r>
          </w:p>
          <w:p w:rsidR="00000000" w:rsidDel="00000000" w:rsidP="00000000" w:rsidRDefault="00000000" w:rsidRPr="00000000" w14:paraId="000000E5">
            <w:pPr>
              <w:spacing w:after="0" w:line="240" w:lineRule="auto"/>
              <w:jc w:val="both"/>
              <w:rPr>
                <w:rFonts w:ascii="Times New Roman" w:cs="Times New Roman" w:eastAsia="Times New Roman" w:hAnsi="Times New Roman"/>
                <w:i w:val="1"/>
                <w:iCs w:val="1"/>
                <w:sz w:val="20"/>
                <w:szCs w:val="20"/>
              </w:rPr>
            </w:pPr>
            <w:r w:rsidDel="00000000" w:rsidR="00000000" w:rsidRPr="00000000">
              <w:rPr>
                <w:rFonts w:ascii="Times New Roman" w:cs="Times New Roman" w:eastAsia="Times New Roman" w:hAnsi="Times New Roman"/>
                <w:color w:val="000000"/>
                <w:sz w:val="20"/>
                <w:szCs w:val="20"/>
                <w:u w:val="none"/>
                <w:rtl w:val="0"/>
              </w:rPr>
              <w:t xml:space="preserve">European Commission/ Eurydice (2017). </w:t>
            </w:r>
            <w:r w:rsidDel="00000000" w:rsidR="00000000" w:rsidRPr="00000000">
              <w:rPr>
                <w:rFonts w:ascii="Times New Roman" w:cs="Times New Roman" w:eastAsia="Times New Roman" w:hAnsi="Times New Roman"/>
                <w:i w:val="1"/>
                <w:iCs w:val="1"/>
                <w:color w:val="000000"/>
                <w:sz w:val="20"/>
                <w:szCs w:val="20"/>
                <w:u w:val="none"/>
                <w:rtl w:val="0"/>
              </w:rPr>
              <w:t xml:space="preserve">Support Mechanisms for Evidence-based Policy Making in Education.</w:t>
            </w:r>
            <w:r w:rsidDel="00000000" w:rsidR="00000000" w:rsidRPr="00000000">
              <w:rPr>
                <w:rtl w:val="0"/>
              </w:rPr>
            </w:r>
          </w:p>
          <w:p w:rsidR="00000000" w:rsidDel="00000000" w:rsidP="00000000" w:rsidRDefault="00000000" w:rsidRPr="00000000" w14:paraId="000000E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European Commission/EACEA/Eurydice, 2020. Equity in school education in Europe: Structures, policies and student performance. Eurydice report. doi:10.2797/286306. </w:t>
            </w:r>
            <w:hyperlink r:id="rId11">
              <w:r w:rsidDel="00000000" w:rsidR="00000000" w:rsidRPr="00000000">
                <w:rPr>
                  <w:rFonts w:ascii="Times New Roman" w:cs="Times New Roman" w:eastAsia="Times New Roman" w:hAnsi="Times New Roman"/>
                  <w:color w:val="0000ff"/>
                  <w:sz w:val="20"/>
                  <w:szCs w:val="20"/>
                  <w:u w:val="single"/>
                  <w:rtl w:val="0"/>
                </w:rPr>
                <w:t xml:space="preserve">https://eacea.ec.europa.eu/national-policies/eurydice/sites/eurydice/files/equity_2020_0.pdf</w:t>
              </w:r>
            </w:hyperlink>
            <w:r w:rsidDel="00000000" w:rsidR="00000000" w:rsidRPr="00000000">
              <w:rPr>
                <w:rtl w:val="0"/>
              </w:rPr>
            </w:r>
          </w:p>
          <w:p w:rsidR="00000000" w:rsidDel="00000000" w:rsidP="00000000" w:rsidRDefault="00000000" w:rsidRPr="00000000" w14:paraId="000000E7">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b w:val="1"/>
                <w:bCs w:val="1"/>
                <w:sz w:val="20"/>
                <w:szCs w:val="20"/>
                <w:rtl w:val="0"/>
              </w:rPr>
              <w:t xml:space="preserve">Fartusnic C.</w:t>
            </w:r>
            <w:r w:rsidDel="00000000" w:rsidR="00000000" w:rsidRPr="00000000">
              <w:rPr>
                <w:rFonts w:ascii="Calibri" w:cs="Calibri" w:eastAsia="Calibri" w:hAnsi="Calibri"/>
                <w:sz w:val="20"/>
                <w:szCs w:val="20"/>
                <w:rtl w:val="0"/>
              </w:rPr>
              <w:t xml:space="preserve"> (2015, coord.). Analiza sistemului de învățământ preuniversitar din România din perspectiva unor indicatori statistici. Politici educaționale bazate pe date. Institutul de Stiinte ale educatiei. Bucuresti: Ed.Universitara  </w:t>
            </w:r>
            <w:hyperlink r:id="rId12">
              <w:r w:rsidDel="00000000" w:rsidR="00000000" w:rsidRPr="00000000">
                <w:rPr>
                  <w:rFonts w:ascii="Calibri" w:cs="Calibri" w:eastAsia="Calibri" w:hAnsi="Calibri"/>
                  <w:color w:val="0000ff"/>
                  <w:sz w:val="20"/>
                  <w:szCs w:val="20"/>
                  <w:u w:val="single"/>
                  <w:rtl w:val="0"/>
                </w:rPr>
                <w:t xml:space="preserve">http://www.ise.ro/wp-content/uploads/2015/03/PUBLICATIE-Sistemul-de-invatamant-2014.pdf</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0E8">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Freeman, J., Simonsen, B. (2015). Examining the Impact of Policy and Practice Interventions on High School Dropout and School Completion Rates: A Systematic Review of the Literature. In</w:t>
            </w:r>
            <w:r w:rsidDel="00000000" w:rsidR="00000000" w:rsidRPr="00000000">
              <w:rPr>
                <w:rFonts w:ascii="Calibri" w:cs="Calibri" w:eastAsia="Calibri" w:hAnsi="Calibri"/>
                <w:i w:val="1"/>
                <w:iCs w:val="1"/>
                <w:sz w:val="20"/>
                <w:szCs w:val="20"/>
                <w:rtl w:val="0"/>
              </w:rPr>
              <w:t xml:space="preserve"> Review of Educational Research</w:t>
            </w:r>
            <w:r w:rsidDel="00000000" w:rsidR="00000000" w:rsidRPr="00000000">
              <w:rPr>
                <w:rFonts w:ascii="Calibri" w:cs="Calibri" w:eastAsia="Calibri" w:hAnsi="Calibri"/>
                <w:sz w:val="20"/>
                <w:szCs w:val="20"/>
                <w:rtl w:val="0"/>
              </w:rPr>
              <w:t xml:space="preserve">, 85(2): 205–248. DOI: 10.3102/0034654314554431 </w:t>
            </w:r>
          </w:p>
          <w:p w:rsidR="00000000" w:rsidDel="00000000" w:rsidP="00000000" w:rsidRDefault="00000000" w:rsidRPr="00000000" w14:paraId="000000E9">
            <w:pPr>
              <w:spacing w:after="0" w:line="240" w:lineRule="auto"/>
              <w:jc w:val="both"/>
              <w:rPr>
                <w:rFonts w:ascii="Times New Roman" w:cs="Times New Roman" w:eastAsia="Times New Roman" w:hAnsi="Times New Roman"/>
                <w:sz w:val="20"/>
                <w:szCs w:val="20"/>
              </w:rPr>
            </w:pPr>
            <w:r w:rsidDel="00000000" w:rsidR="00000000" w:rsidRPr="00000000">
              <w:rPr>
                <w:rFonts w:ascii="Calibri" w:cs="Calibri" w:eastAsia="Calibri" w:hAnsi="Calibri"/>
                <w:sz w:val="20"/>
                <w:szCs w:val="20"/>
                <w:rtl w:val="0"/>
              </w:rPr>
              <w:t xml:space="preserve">Fullan, M. (2021).</w:t>
            </w:r>
            <w:r w:rsidDel="00000000" w:rsidR="00000000" w:rsidRPr="00000000">
              <w:rPr>
                <w:rtl w:val="0"/>
              </w:rPr>
              <w:t xml:space="preserve"> </w:t>
            </w:r>
            <w:r w:rsidDel="00000000" w:rsidR="00000000" w:rsidRPr="00000000">
              <w:rPr>
                <w:i w:val="1"/>
                <w:iCs w:val="1"/>
                <w:rtl w:val="0"/>
              </w:rPr>
              <w:t xml:space="preserve">The right drivers for the whole system success</w:t>
            </w:r>
            <w:r w:rsidDel="00000000" w:rsidR="00000000" w:rsidRPr="00000000">
              <w:rPr>
                <w:rtl w:val="0"/>
              </w:rPr>
              <w:t xml:space="preserve">. </w:t>
            </w:r>
            <w:r w:rsidDel="00000000" w:rsidR="00000000" w:rsidRPr="00000000">
              <w:rPr>
                <w:rFonts w:ascii="Times New Roman" w:cs="Times New Roman" w:eastAsia="Times New Roman" w:hAnsi="Times New Roman"/>
                <w:color w:val="000000"/>
                <w:sz w:val="20"/>
                <w:szCs w:val="20"/>
                <w:rtl w:val="0"/>
              </w:rPr>
              <w:t xml:space="preserve">Victoria: Centre for Strategic Education. </w:t>
            </w:r>
            <w:r w:rsidDel="00000000" w:rsidR="00000000" w:rsidRPr="00000000">
              <w:rPr>
                <w:rFonts w:ascii="Times New Roman" w:cs="Times New Roman" w:eastAsia="Times New Roman" w:hAnsi="Times New Roman"/>
                <w:sz w:val="20"/>
                <w:szCs w:val="20"/>
                <w:rtl w:val="0"/>
              </w:rPr>
              <w:t xml:space="preserve"> https://drive.google.com/file/d/19iZ6sLTdoUssz9tPngV3kOWCUwNbYF0r/view</w:t>
            </w:r>
          </w:p>
          <w:p w:rsidR="00000000" w:rsidDel="00000000" w:rsidP="00000000" w:rsidRDefault="00000000" w:rsidRPr="00000000" w14:paraId="000000EA">
            <w:pPr>
              <w:spacing w:after="0" w:lineRule="auto"/>
              <w:rPr>
                <w:rFonts w:ascii="Calibri" w:cs="Calibri" w:eastAsia="Calibri" w:hAnsi="Calibri"/>
                <w:color w:val="333333"/>
                <w:sz w:val="20"/>
                <w:szCs w:val="20"/>
              </w:rPr>
            </w:pPr>
            <w:r w:rsidDel="00000000" w:rsidR="00000000" w:rsidRPr="00000000">
              <w:rPr>
                <w:rFonts w:ascii="Calibri" w:cs="Calibri" w:eastAsia="Calibri" w:hAnsi="Calibri"/>
                <w:color w:val="333333"/>
                <w:sz w:val="20"/>
                <w:szCs w:val="20"/>
                <w:rtl w:val="0"/>
              </w:rPr>
              <w:t xml:space="preserve">Gale, T., Molla, T. (2015), Social justice intents in policy: an analysis of capability </w:t>
            </w:r>
            <w:r w:rsidDel="00000000" w:rsidR="00000000" w:rsidRPr="00000000">
              <w:rPr>
                <w:rFonts w:ascii="Calibri" w:cs="Calibri" w:eastAsia="Calibri" w:hAnsi="Calibri"/>
                <w:i w:val="1"/>
                <w:iCs w:val="1"/>
                <w:color w:val="333333"/>
                <w:sz w:val="20"/>
                <w:szCs w:val="20"/>
                <w:rtl w:val="0"/>
              </w:rPr>
              <w:t xml:space="preserve">for</w:t>
            </w:r>
            <w:r w:rsidDel="00000000" w:rsidR="00000000" w:rsidRPr="00000000">
              <w:rPr>
                <w:rFonts w:ascii="Calibri" w:cs="Calibri" w:eastAsia="Calibri" w:hAnsi="Calibri"/>
                <w:color w:val="333333"/>
                <w:sz w:val="20"/>
                <w:szCs w:val="20"/>
                <w:rtl w:val="0"/>
              </w:rPr>
              <w:t xml:space="preserve"> and </w:t>
            </w:r>
            <w:r w:rsidDel="00000000" w:rsidR="00000000" w:rsidRPr="00000000">
              <w:rPr>
                <w:rFonts w:ascii="Calibri" w:cs="Calibri" w:eastAsia="Calibri" w:hAnsi="Calibri"/>
                <w:i w:val="1"/>
                <w:iCs w:val="1"/>
                <w:color w:val="333333"/>
                <w:sz w:val="20"/>
                <w:szCs w:val="20"/>
                <w:rtl w:val="0"/>
              </w:rPr>
              <w:t xml:space="preserve">through</w:t>
            </w:r>
            <w:r w:rsidDel="00000000" w:rsidR="00000000" w:rsidRPr="00000000">
              <w:rPr>
                <w:rFonts w:ascii="Calibri" w:cs="Calibri" w:eastAsia="Calibri" w:hAnsi="Calibri"/>
                <w:color w:val="333333"/>
                <w:sz w:val="20"/>
                <w:szCs w:val="20"/>
                <w:rtl w:val="0"/>
              </w:rPr>
              <w:t xml:space="preserve"> education</w:t>
            </w:r>
            <w:r w:rsidDel="00000000" w:rsidR="00000000" w:rsidRPr="00000000">
              <w:rPr>
                <w:rFonts w:ascii="Calibri" w:cs="Calibri" w:eastAsia="Calibri" w:hAnsi="Calibri"/>
                <w:b w:val="1"/>
                <w:bCs w:val="1"/>
                <w:color w:val="333333"/>
                <w:sz w:val="20"/>
                <w:szCs w:val="20"/>
                <w:rtl w:val="0"/>
              </w:rPr>
              <w:t xml:space="preserve">, </w:t>
            </w:r>
            <w:r w:rsidDel="00000000" w:rsidR="00000000" w:rsidRPr="00000000">
              <w:rPr>
                <w:rFonts w:ascii="Calibri" w:cs="Calibri" w:eastAsia="Calibri" w:hAnsi="Calibri"/>
                <w:i w:val="1"/>
                <w:iCs w:val="1"/>
                <w:color w:val="333333"/>
                <w:sz w:val="20"/>
                <w:szCs w:val="20"/>
                <w:rtl w:val="0"/>
              </w:rPr>
              <w:t xml:space="preserve">Journal of Educational Policy, </w:t>
            </w:r>
            <w:r w:rsidDel="00000000" w:rsidR="00000000" w:rsidRPr="00000000">
              <w:rPr>
                <w:rFonts w:ascii="Calibri" w:cs="Calibri" w:eastAsia="Calibri" w:hAnsi="Calibri"/>
                <w:color w:val="333333"/>
                <w:sz w:val="20"/>
                <w:szCs w:val="20"/>
                <w:rtl w:val="0"/>
              </w:rPr>
              <w:t xml:space="preserve">30(6), 810-830</w:t>
            </w:r>
          </w:p>
          <w:p w:rsidR="00000000" w:rsidDel="00000000" w:rsidP="00000000" w:rsidRDefault="00000000" w:rsidRPr="00000000" w14:paraId="000000EB">
            <w:pPr>
              <w:spacing w:after="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Heineke, A.J., Ryan, A.M., Tocci, C. (2015). Teaching, Learning, and Leading: Preparing Teachers as Educational Policy Actors. In </w:t>
            </w:r>
            <w:r w:rsidDel="00000000" w:rsidR="00000000" w:rsidRPr="00000000">
              <w:rPr>
                <w:rFonts w:ascii="Calibri" w:cs="Calibri" w:eastAsia="Calibri" w:hAnsi="Calibri"/>
                <w:i w:val="1"/>
                <w:iCs w:val="1"/>
                <w:sz w:val="20"/>
                <w:szCs w:val="20"/>
                <w:rtl w:val="0"/>
              </w:rPr>
              <w:t xml:space="preserve">Journal of Teacher Education</w:t>
            </w:r>
            <w:r w:rsidDel="00000000" w:rsidR="00000000" w:rsidRPr="00000000">
              <w:rPr>
                <w:rFonts w:ascii="Calibri" w:cs="Calibri" w:eastAsia="Calibri" w:hAnsi="Calibri"/>
                <w:sz w:val="20"/>
                <w:szCs w:val="20"/>
                <w:rtl w:val="0"/>
              </w:rPr>
              <w:t xml:space="preserve">, Vol. 66(4) 382–394. DOI: 10.1177/0022487115592031 </w:t>
            </w:r>
          </w:p>
          <w:p w:rsidR="00000000" w:rsidDel="00000000" w:rsidP="00000000" w:rsidRDefault="00000000" w:rsidRPr="00000000" w14:paraId="000000EC">
            <w:pPr>
              <w:spacing w:after="0" w:lineRule="auto"/>
              <w:rPr>
                <w:rFonts w:ascii="Calibri" w:cs="Calibri" w:eastAsia="Calibri" w:hAnsi="Calibri"/>
                <w:sz w:val="20"/>
                <w:szCs w:val="20"/>
              </w:rPr>
            </w:pPr>
            <w:r w:rsidDel="00000000" w:rsidR="00000000" w:rsidRPr="00000000">
              <w:rPr>
                <w:rFonts w:ascii="Times New Roman" w:cs="Times New Roman" w:eastAsia="Times New Roman" w:hAnsi="Times New Roman"/>
                <w:sz w:val="20"/>
                <w:szCs w:val="20"/>
                <w:rtl w:val="0"/>
              </w:rPr>
              <w:t xml:space="preserve">Institutul Național de Cercetare Științifică în domeniul Muncii şi Protecţiei Sociale (INCSMPS) (2019) </w:t>
            </w:r>
            <w:r w:rsidDel="00000000" w:rsidR="00000000" w:rsidRPr="00000000">
              <w:rPr>
                <w:rFonts w:ascii="Times New Roman" w:cs="Times New Roman" w:eastAsia="Times New Roman" w:hAnsi="Times New Roman"/>
                <w:i w:val="1"/>
                <w:iCs w:val="1"/>
                <w:sz w:val="20"/>
                <w:szCs w:val="20"/>
                <w:rtl w:val="0"/>
              </w:rPr>
              <w:t xml:space="preserve">Agenda pentru competențe România la orizontul anilor 2025</w:t>
            </w:r>
            <w:r w:rsidDel="00000000" w:rsidR="00000000" w:rsidRPr="00000000">
              <w:rPr>
                <w:rFonts w:ascii="Times New Roman" w:cs="Times New Roman" w:eastAsia="Times New Roman" w:hAnsi="Times New Roman"/>
                <w:sz w:val="20"/>
                <w:szCs w:val="20"/>
                <w:rtl w:val="0"/>
              </w:rPr>
              <w:t xml:space="preserve">. </w:t>
            </w:r>
            <w:hyperlink r:id="rId13">
              <w:r w:rsidDel="00000000" w:rsidR="00000000" w:rsidRPr="00000000">
                <w:rPr>
                  <w:rFonts w:ascii="Times New Roman" w:cs="Times New Roman" w:eastAsia="Times New Roman" w:hAnsi="Times New Roman"/>
                  <w:color w:val="0000ff"/>
                  <w:sz w:val="20"/>
                  <w:szCs w:val="20"/>
                  <w:u w:val="single"/>
                  <w:rtl w:val="0"/>
                </w:rPr>
                <w:t xml:space="preserve">https://mmuncii.ro/j33/images/Documente/MMPS/Rapoarte_si_studii_MMPS/DPOCM/Agenda_pentru_competente_ROMANIA_2020-2025R5etapaIII.pdf</w:t>
              </w:r>
            </w:hyperlink>
            <w:r w:rsidDel="00000000" w:rsidR="00000000" w:rsidRPr="00000000">
              <w:rPr>
                <w:rtl w:val="0"/>
              </w:rPr>
            </w:r>
          </w:p>
          <w:p w:rsidR="00000000" w:rsidDel="00000000" w:rsidP="00000000" w:rsidRDefault="00000000" w:rsidRPr="00000000" w14:paraId="000000ED">
            <w:pPr>
              <w:spacing w:after="0" w:lineRule="auto"/>
              <w:rPr>
                <w:rFonts w:ascii="Times New Roman" w:cs="Times New Roman" w:eastAsia="Times New Roman" w:hAnsi="Times New Roman"/>
                <w:color w:val="333333"/>
                <w:sz w:val="20"/>
                <w:szCs w:val="20"/>
              </w:rPr>
            </w:pPr>
            <w:r w:rsidDel="00000000" w:rsidR="00000000" w:rsidRPr="00000000">
              <w:rPr>
                <w:rFonts w:ascii="Calibri" w:cs="Calibri" w:eastAsia="Calibri" w:hAnsi="Calibri"/>
                <w:color w:val="333333"/>
                <w:sz w:val="20"/>
                <w:szCs w:val="20"/>
                <w:rtl w:val="0"/>
              </w:rPr>
              <w:t xml:space="preserve">Iucu, B., Ciolan, L, Nedelcu, A., Carțiș, A. (2021). </w:t>
            </w:r>
            <w:hyperlink r:id="rId14">
              <w:r w:rsidDel="00000000" w:rsidR="00000000" w:rsidRPr="00000000">
                <w:rPr>
                  <w:color w:val="0000ff"/>
                  <w:u w:val="single"/>
                  <w:rtl w:val="0"/>
                </w:rPr>
                <w:t xml:space="preserve">De ce micro-creditele trebuie să devină  „macro-politici” educaționale pentru definirea viitoarelor programe europene de studii</w:t>
              </w:r>
            </w:hyperlink>
            <w:r w:rsidDel="00000000" w:rsidR="00000000" w:rsidRPr="00000000">
              <w:rPr>
                <w:rtl w:val="0"/>
              </w:rPr>
              <w:t xml:space="preserve">. Universitatea din București.</w:t>
            </w:r>
            <w:r w:rsidDel="00000000" w:rsidR="00000000" w:rsidRPr="00000000">
              <w:rPr>
                <w:rFonts w:ascii="Calibri" w:cs="Calibri" w:eastAsia="Calibri" w:hAnsi="Calibri"/>
                <w:color w:val="333333"/>
                <w:sz w:val="20"/>
                <w:szCs w:val="20"/>
                <w:rtl w:val="0"/>
              </w:rPr>
              <w:t xml:space="preserve"> </w:t>
            </w:r>
            <w:r w:rsidDel="00000000" w:rsidR="00000000" w:rsidRPr="00000000">
              <w:rPr>
                <w:rtl w:val="0"/>
              </w:rPr>
            </w:r>
          </w:p>
          <w:p w:rsidR="00000000" w:rsidDel="00000000" w:rsidP="00000000" w:rsidRDefault="00000000" w:rsidRPr="00000000" w14:paraId="000000EE">
            <w:pPr>
              <w:spacing w:after="0" w:line="240" w:lineRule="auto"/>
              <w:ind w:hanging="2"/>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Jurca, A.M. &amp; Sava, S. (2023). Atitudinea directorilor de școli din România față de educația incluzivă. </w:t>
            </w:r>
            <w:r w:rsidDel="00000000" w:rsidR="00000000" w:rsidRPr="00000000">
              <w:rPr>
                <w:rFonts w:ascii="Times New Roman" w:cs="Times New Roman" w:eastAsia="Times New Roman" w:hAnsi="Times New Roman"/>
                <w:i w:val="1"/>
                <w:iCs w:val="1"/>
                <w:rtl w:val="0"/>
              </w:rPr>
              <w:t xml:space="preserve">Revista de Pedagogie - Journal of Pedagogy,</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i w:val="1"/>
                <w:iCs w:val="1"/>
                <w:rtl w:val="0"/>
              </w:rPr>
              <w:t xml:space="preserve">LXXI(2). </w:t>
            </w:r>
            <w:hyperlink r:id="rId15">
              <w:r w:rsidDel="00000000" w:rsidR="00000000" w:rsidRPr="00000000">
                <w:rPr>
                  <w:rFonts w:ascii="Times New Roman" w:cs="Times New Roman" w:eastAsia="Times New Roman" w:hAnsi="Times New Roman"/>
                  <w:color w:val="1155cc"/>
                  <w:u w:val="single"/>
                  <w:rtl w:val="0"/>
                </w:rPr>
                <w:t xml:space="preserve">https://doi.org/10.26755/RevPed/2023.2/95</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EF">
            <w:pPr>
              <w:spacing w:after="0" w:line="240" w:lineRule="auto"/>
              <w:ind w:hanging="2"/>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Lică, C., Ulrich-Hygum, C. (2020). </w:t>
            </w:r>
            <w:hyperlink r:id="rId16">
              <w:r w:rsidDel="00000000" w:rsidR="00000000" w:rsidRPr="00000000">
                <w:rPr>
                  <w:rFonts w:ascii="Times New Roman" w:cs="Times New Roman" w:eastAsia="Times New Roman" w:hAnsi="Times New Roman"/>
                  <w:color w:val="0000ff"/>
                  <w:u w:val="single"/>
                  <w:rtl w:val="0"/>
                </w:rPr>
                <w:t xml:space="preserve">Case study Romania</w:t>
              </w:r>
            </w:hyperlink>
            <w:r w:rsidDel="00000000" w:rsidR="00000000" w:rsidRPr="00000000">
              <w:rPr>
                <w:rFonts w:ascii="Times New Roman" w:cs="Times New Roman" w:eastAsia="Times New Roman" w:hAnsi="Times New Roman"/>
                <w:rtl w:val="0"/>
              </w:rPr>
              <w:t xml:space="preserve"> – A good start in life. Ending the era of a split early childhood education system. Step by step.</w:t>
            </w:r>
          </w:p>
          <w:p w:rsidR="00000000" w:rsidDel="00000000" w:rsidP="00000000" w:rsidRDefault="00000000" w:rsidRPr="00000000" w14:paraId="000000F0">
            <w:pPr>
              <w:spacing w:after="0" w:line="240" w:lineRule="auto"/>
              <w:rPr>
                <w:rFonts w:ascii="Times New Roman" w:cs="Times New Roman" w:eastAsia="Times New Roman" w:hAnsi="Times New Roman"/>
                <w:color w:val="333333"/>
                <w:sz w:val="20"/>
                <w:szCs w:val="20"/>
              </w:rPr>
            </w:pPr>
            <w:r w:rsidDel="00000000" w:rsidR="00000000" w:rsidRPr="00000000">
              <w:rPr>
                <w:rFonts w:ascii="Times New Roman" w:cs="Times New Roman" w:eastAsia="Times New Roman" w:hAnsi="Times New Roman"/>
                <w:sz w:val="20"/>
                <w:szCs w:val="20"/>
                <w:rtl w:val="0"/>
              </w:rPr>
              <w:t xml:space="preserve">Mason, M. (2016). Is Thorough Implementation of Policy Change in Education Actually Possible? What Complexity Theory Tells Us About Initiating And Sustaining Change</w:t>
            </w:r>
            <w:r w:rsidDel="00000000" w:rsidR="00000000" w:rsidRPr="00000000">
              <w:rPr>
                <w:rFonts w:ascii="Times New Roman" w:cs="Times New Roman" w:eastAsia="Times New Roman" w:hAnsi="Times New Roman"/>
                <w:i w:val="1"/>
                <w:iCs w:val="1"/>
                <w:sz w:val="20"/>
                <w:szCs w:val="20"/>
                <w:rtl w:val="0"/>
              </w:rPr>
              <w:t xml:space="preserve">. European Journal of Education, </w:t>
            </w:r>
            <w:r w:rsidDel="00000000" w:rsidR="00000000" w:rsidRPr="00000000">
              <w:rPr>
                <w:rFonts w:ascii="Times New Roman" w:cs="Times New Roman" w:eastAsia="Times New Roman" w:hAnsi="Times New Roman"/>
                <w:sz w:val="20"/>
                <w:szCs w:val="20"/>
                <w:rtl w:val="0"/>
              </w:rPr>
              <w:t xml:space="preserve">Vol. 51, No. 4.</w:t>
            </w:r>
            <w:r w:rsidDel="00000000" w:rsidR="00000000" w:rsidRPr="00000000">
              <w:rPr>
                <w:rtl w:val="0"/>
              </w:rPr>
            </w:r>
          </w:p>
          <w:p w:rsidR="00000000" w:rsidDel="00000000" w:rsidP="00000000" w:rsidRDefault="00000000" w:rsidRPr="00000000" w14:paraId="000000F1">
            <w:pPr>
              <w:spacing w:after="0" w:line="312"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Ministerul Educației. (2023), </w:t>
            </w:r>
            <w:hyperlink r:id="rId17">
              <w:r w:rsidDel="00000000" w:rsidR="00000000" w:rsidRPr="00000000">
                <w:rPr>
                  <w:rFonts w:ascii="Calibri" w:cs="Calibri" w:eastAsia="Calibri" w:hAnsi="Calibri"/>
                  <w:i w:val="1"/>
                  <w:iCs w:val="1"/>
                  <w:color w:val="0000ff"/>
                  <w:sz w:val="20"/>
                  <w:szCs w:val="20"/>
                  <w:u w:val="single"/>
                  <w:rtl w:val="0"/>
                </w:rPr>
                <w:t xml:space="preserve">Legea educaţiei naţionale nr.198</w:t>
              </w:r>
            </w:hyperlink>
            <w:r w:rsidDel="00000000" w:rsidR="00000000" w:rsidRPr="00000000">
              <w:rPr>
                <w:rFonts w:ascii="Calibri" w:cs="Calibri" w:eastAsia="Calibri" w:hAnsi="Calibri"/>
                <w:i w:val="1"/>
                <w:iCs w:val="1"/>
                <w:sz w:val="20"/>
                <w:szCs w:val="20"/>
                <w:rtl w:val="0"/>
              </w:rPr>
              <w:t xml:space="preserve">, </w:t>
            </w:r>
            <w:hyperlink r:id="rId18">
              <w:r w:rsidDel="00000000" w:rsidR="00000000" w:rsidRPr="00000000">
                <w:rPr>
                  <w:rFonts w:ascii="Calibri" w:cs="Calibri" w:eastAsia="Calibri" w:hAnsi="Calibri"/>
                  <w:i w:val="1"/>
                  <w:iCs w:val="1"/>
                  <w:color w:val="0000ff"/>
                  <w:sz w:val="20"/>
                  <w:szCs w:val="20"/>
                  <w:u w:val="single"/>
                  <w:rtl w:val="0"/>
                </w:rPr>
                <w:t xml:space="preserve">199/2023</w:t>
              </w:r>
            </w:hyperlink>
            <w:r w:rsidDel="00000000" w:rsidR="00000000" w:rsidRPr="00000000">
              <w:rPr>
                <w:rFonts w:ascii="Calibri" w:cs="Calibri" w:eastAsia="Calibri" w:hAnsi="Calibri"/>
                <w:sz w:val="20"/>
                <w:szCs w:val="20"/>
                <w:rtl w:val="0"/>
              </w:rPr>
              <w:t xml:space="preserve">; http://</w:t>
            </w:r>
            <w:hyperlink r:id="rId19">
              <w:r w:rsidDel="00000000" w:rsidR="00000000" w:rsidRPr="00000000">
                <w:rPr>
                  <w:rFonts w:ascii="Calibri" w:cs="Calibri" w:eastAsia="Calibri" w:hAnsi="Calibri"/>
                  <w:sz w:val="20"/>
                  <w:szCs w:val="20"/>
                  <w:rtl w:val="0"/>
                </w:rPr>
                <w:t xml:space="preserve">www.edu.ro</w:t>
              </w:r>
            </w:hyperlink>
            <w:r w:rsidDel="00000000" w:rsidR="00000000" w:rsidRPr="00000000">
              <w:rPr>
                <w:rtl w:val="0"/>
              </w:rPr>
            </w:r>
          </w:p>
          <w:p w:rsidR="00000000" w:rsidDel="00000000" w:rsidP="00000000" w:rsidRDefault="00000000" w:rsidRPr="00000000" w14:paraId="000000F2">
            <w:pPr>
              <w:spacing w:after="0" w:line="312" w:lineRule="auto"/>
              <w:jc w:val="both"/>
              <w:rPr>
                <w:rFonts w:ascii="Calibri" w:cs="Calibri" w:eastAsia="Calibri" w:hAnsi="Calibri"/>
                <w:sz w:val="20"/>
                <w:szCs w:val="20"/>
              </w:rPr>
            </w:pPr>
            <w:bookmarkStart w:colFirst="0" w:colLast="0" w:name="_heading=h.dyf57mh4hf99" w:id="0"/>
            <w:bookmarkEnd w:id="0"/>
            <w:r w:rsidDel="00000000" w:rsidR="00000000" w:rsidRPr="00000000">
              <w:rPr>
                <w:rFonts w:ascii="Calibri" w:cs="Calibri" w:eastAsia="Calibri" w:hAnsi="Calibri"/>
                <w:sz w:val="20"/>
                <w:szCs w:val="20"/>
                <w:rtl w:val="0"/>
              </w:rPr>
              <w:t xml:space="preserve">Ministerul Educației Naționale. (2020) </w:t>
            </w:r>
            <w:hyperlink r:id="rId20">
              <w:r w:rsidDel="00000000" w:rsidR="00000000" w:rsidRPr="00000000">
                <w:rPr>
                  <w:rFonts w:ascii="Calibri" w:cs="Calibri" w:eastAsia="Calibri" w:hAnsi="Calibri"/>
                  <w:color w:val="0000ff"/>
                  <w:sz w:val="20"/>
                  <w:szCs w:val="20"/>
                  <w:u w:val="single"/>
                  <w:rtl w:val="0"/>
                </w:rPr>
                <w:t xml:space="preserve">Strategia națională învățământ dual 2020-2025</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0F3">
            <w:pPr>
              <w:spacing w:after="0" w:line="312"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Ministerul Educației, Ministerul Muncii (2024). </w:t>
            </w:r>
            <w:hyperlink r:id="rId21">
              <w:r w:rsidDel="00000000" w:rsidR="00000000" w:rsidRPr="00000000">
                <w:rPr>
                  <w:rFonts w:ascii="Calibri" w:cs="Calibri" w:eastAsia="Calibri" w:hAnsi="Calibri"/>
                  <w:color w:val="0000ff"/>
                  <w:sz w:val="20"/>
                  <w:szCs w:val="20"/>
                  <w:u w:val="single"/>
                  <w:rtl w:val="0"/>
                </w:rPr>
                <w:t xml:space="preserve">Strategia Națională pentru Formarea Adulților 2023-2027</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0F4">
            <w:pPr>
              <w:spacing w:after="0" w:lineRule="auto"/>
              <w:rPr/>
            </w:pPr>
            <w:r w:rsidDel="00000000" w:rsidR="00000000" w:rsidRPr="00000000">
              <w:rPr>
                <w:rtl w:val="0"/>
              </w:rPr>
              <w:t xml:space="preserve">Moyson,S., Scholten, P., &amp; Weible, M., C. (2017). Policy learning and policy change: theorizing their relations from different perspectives, Policy and Society, 36(2), 161-177</w:t>
            </w:r>
          </w:p>
          <w:p w:rsidR="00000000" w:rsidDel="00000000" w:rsidP="00000000" w:rsidRDefault="00000000" w:rsidRPr="00000000" w14:paraId="000000F5">
            <w:pPr>
              <w:spacing w:after="0" w:lineRule="auto"/>
              <w:rPr>
                <w:rFonts w:ascii="Calibri" w:cs="Calibri" w:eastAsia="Calibri" w:hAnsi="Calibri"/>
                <w:color w:val="333333"/>
                <w:sz w:val="20"/>
                <w:szCs w:val="20"/>
              </w:rPr>
            </w:pPr>
            <w:r w:rsidDel="00000000" w:rsidR="00000000" w:rsidRPr="00000000">
              <w:rPr>
                <w:rFonts w:ascii="Calibri" w:cs="Calibri" w:eastAsia="Calibri" w:hAnsi="Calibri"/>
                <w:sz w:val="20"/>
                <w:szCs w:val="20"/>
                <w:rtl w:val="0"/>
              </w:rPr>
              <w:t xml:space="preserve">Nicu, A. (2013). </w:t>
            </w:r>
            <w:r w:rsidDel="00000000" w:rsidR="00000000" w:rsidRPr="00000000">
              <w:rPr>
                <w:rFonts w:ascii="Calibri" w:cs="Calibri" w:eastAsia="Calibri" w:hAnsi="Calibri"/>
                <w:i w:val="1"/>
                <w:iCs w:val="1"/>
                <w:sz w:val="20"/>
                <w:szCs w:val="20"/>
                <w:rtl w:val="0"/>
              </w:rPr>
              <w:t xml:space="preserve">Politici educaționale. Repere teoretice și pragmatice. </w:t>
            </w:r>
            <w:r w:rsidDel="00000000" w:rsidR="00000000" w:rsidRPr="00000000">
              <w:rPr>
                <w:rFonts w:ascii="Calibri" w:cs="Calibri" w:eastAsia="Calibri" w:hAnsi="Calibri"/>
                <w:sz w:val="20"/>
                <w:szCs w:val="20"/>
                <w:rtl w:val="0"/>
              </w:rPr>
              <w:t xml:space="preserve">Cluj Napoca: Ed. ASCR.</w:t>
            </w:r>
            <w:r w:rsidDel="00000000" w:rsidR="00000000" w:rsidRPr="00000000">
              <w:rPr>
                <w:rtl w:val="0"/>
              </w:rPr>
            </w:r>
          </w:p>
          <w:p w:rsidR="00000000" w:rsidDel="00000000" w:rsidP="00000000" w:rsidRDefault="00000000" w:rsidRPr="00000000" w14:paraId="000000F6">
            <w:pPr>
              <w:spacing w:after="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OECD. (2016). Measuring What Counts in Education: Monitoring the Sustainable Development Goal for Education. </w:t>
            </w:r>
            <w:r w:rsidDel="00000000" w:rsidR="00000000" w:rsidRPr="00000000">
              <w:rPr>
                <w:rFonts w:ascii="Calibri" w:cs="Calibri" w:eastAsia="Calibri" w:hAnsi="Calibri"/>
                <w:i w:val="1"/>
                <w:iCs w:val="1"/>
                <w:sz w:val="20"/>
                <w:szCs w:val="20"/>
                <w:rtl w:val="0"/>
              </w:rPr>
              <w:t xml:space="preserve">Education at Glance 2016, p.13-16, </w:t>
            </w:r>
            <w:hyperlink r:id="rId22">
              <w:r w:rsidDel="00000000" w:rsidR="00000000" w:rsidRPr="00000000">
                <w:rPr>
                  <w:rFonts w:ascii="Calibri" w:cs="Calibri" w:eastAsia="Calibri" w:hAnsi="Calibri"/>
                  <w:sz w:val="20"/>
                  <w:szCs w:val="20"/>
                  <w:rtl w:val="0"/>
                </w:rPr>
                <w:t xml:space="preserve">http://dx.doi.org/10.1787/eag-2016-2-en</w:t>
              </w:r>
            </w:hyperlink>
            <w:r w:rsidDel="00000000" w:rsidR="00000000" w:rsidRPr="00000000">
              <w:rPr>
                <w:rFonts w:ascii="Calibri" w:cs="Calibri" w:eastAsia="Calibri" w:hAnsi="Calibri"/>
                <w:sz w:val="20"/>
                <w:szCs w:val="20"/>
                <w:rtl w:val="0"/>
              </w:rPr>
              <w:t xml:space="preserve"> Paris: OECD</w:t>
            </w:r>
          </w:p>
          <w:p w:rsidR="00000000" w:rsidDel="00000000" w:rsidP="00000000" w:rsidRDefault="00000000" w:rsidRPr="00000000" w14:paraId="000000F7">
            <w:pPr>
              <w:spacing w:after="0" w:lineRule="auto"/>
              <w:rPr>
                <w:rFonts w:ascii="Calibri" w:cs="Calibri" w:eastAsia="Calibri" w:hAnsi="Calibri"/>
                <w:sz w:val="20"/>
                <w:szCs w:val="20"/>
              </w:rPr>
            </w:pPr>
            <w:r w:rsidDel="00000000" w:rsidR="00000000" w:rsidRPr="00000000">
              <w:rPr>
                <w:rFonts w:ascii="Times New Roman" w:cs="Times New Roman" w:eastAsia="Times New Roman" w:hAnsi="Times New Roman"/>
                <w:sz w:val="20"/>
                <w:szCs w:val="20"/>
                <w:rtl w:val="0"/>
              </w:rPr>
              <w:t xml:space="preserve">OECD/CERI, (2016). </w:t>
            </w:r>
            <w:r w:rsidDel="00000000" w:rsidR="00000000" w:rsidRPr="00000000">
              <w:rPr>
                <w:rFonts w:ascii="Times New Roman" w:cs="Times New Roman" w:eastAsia="Times New Roman" w:hAnsi="Times New Roman"/>
                <w:i w:val="1"/>
                <w:iCs w:val="1"/>
                <w:sz w:val="20"/>
                <w:szCs w:val="20"/>
                <w:rtl w:val="0"/>
              </w:rPr>
              <w:t xml:space="preserve">Governing Education in a Complex World. </w:t>
            </w:r>
            <w:r w:rsidDel="00000000" w:rsidR="00000000" w:rsidRPr="00000000">
              <w:rPr>
                <w:rFonts w:ascii="Times New Roman" w:cs="Times New Roman" w:eastAsia="Times New Roman" w:hAnsi="Times New Roman"/>
                <w:sz w:val="20"/>
                <w:szCs w:val="20"/>
                <w:rtl w:val="0"/>
              </w:rPr>
              <w:t xml:space="preserve">Paris: OECD</w:t>
            </w:r>
            <w:r w:rsidDel="00000000" w:rsidR="00000000" w:rsidRPr="00000000">
              <w:rPr>
                <w:rFonts w:ascii="Arial" w:cs="Arial" w:eastAsia="Arial" w:hAnsi="Arial"/>
                <w:sz w:val="20"/>
                <w:szCs w:val="20"/>
                <w:rtl w:val="0"/>
              </w:rPr>
              <w:t xml:space="preserve">.</w:t>
            </w:r>
            <w:r w:rsidDel="00000000" w:rsidR="00000000" w:rsidRPr="00000000">
              <w:rPr>
                <w:rtl w:val="0"/>
              </w:rPr>
            </w:r>
          </w:p>
          <w:p w:rsidR="00000000" w:rsidDel="00000000" w:rsidP="00000000" w:rsidRDefault="00000000" w:rsidRPr="00000000" w14:paraId="000000F8">
            <w:pPr>
              <w:spacing w:after="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OECD (2020). </w:t>
            </w:r>
            <w:r w:rsidDel="00000000" w:rsidR="00000000" w:rsidRPr="00000000">
              <w:rPr>
                <w:rFonts w:ascii="Calibri" w:cs="Calibri" w:eastAsia="Calibri" w:hAnsi="Calibri"/>
                <w:i w:val="1"/>
                <w:iCs w:val="1"/>
                <w:sz w:val="20"/>
                <w:szCs w:val="20"/>
                <w:rtl w:val="0"/>
              </w:rPr>
              <w:t xml:space="preserve">Lessons for Education from COVID-19: A Policy Maker’s Handbook for More Resilient Systems, </w:t>
            </w:r>
            <w:r w:rsidDel="00000000" w:rsidR="00000000" w:rsidRPr="00000000">
              <w:rPr>
                <w:rFonts w:ascii="Calibri" w:cs="Calibri" w:eastAsia="Calibri" w:hAnsi="Calibri"/>
                <w:sz w:val="20"/>
                <w:szCs w:val="20"/>
                <w:rtl w:val="0"/>
              </w:rPr>
              <w:t xml:space="preserve">OECD Publishing, Paris. https://doi.org/10.1787/0a530888-en.</w:t>
            </w:r>
          </w:p>
          <w:p w:rsidR="00000000" w:rsidDel="00000000" w:rsidP="00000000" w:rsidRDefault="00000000" w:rsidRPr="00000000" w14:paraId="000000F9">
            <w:pPr>
              <w:spacing w:after="0" w:line="240" w:lineRule="auto"/>
              <w:jc w:val="both"/>
              <w:rPr>
                <w:rFonts w:ascii="Arial Narrow" w:cs="Arial Narrow" w:eastAsia="Arial Narrow" w:hAnsi="Arial Narrow"/>
                <w:sz w:val="20"/>
                <w:szCs w:val="20"/>
              </w:rPr>
            </w:pPr>
            <w:r w:rsidDel="00000000" w:rsidR="00000000" w:rsidRPr="00000000">
              <w:rPr>
                <w:rFonts w:ascii="Calibri" w:cs="Calibri" w:eastAsia="Calibri" w:hAnsi="Calibri"/>
                <w:sz w:val="20"/>
                <w:szCs w:val="20"/>
                <w:rtl w:val="0"/>
              </w:rPr>
              <w:t xml:space="preserve">OECD (2017). Educational Opportunity for All: Ove</w:t>
            </w:r>
            <w:r w:rsidDel="00000000" w:rsidR="00000000" w:rsidRPr="00000000">
              <w:rPr>
                <w:rFonts w:ascii="Arial Narrow" w:cs="Arial Narrow" w:eastAsia="Arial Narrow" w:hAnsi="Arial Narrow"/>
                <w:sz w:val="20"/>
                <w:szCs w:val="20"/>
                <w:rtl w:val="0"/>
              </w:rPr>
              <w:t xml:space="preserve">rcoming Inequality throughout the Life Course, Paris: OECD Publishing</w:t>
            </w:r>
          </w:p>
          <w:p w:rsidR="00000000" w:rsidDel="00000000" w:rsidP="00000000" w:rsidRDefault="00000000" w:rsidRPr="00000000" w14:paraId="000000FA">
            <w:pPr>
              <w:spacing w:after="0"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OECD (2024). </w:t>
            </w:r>
            <w:hyperlink r:id="rId23">
              <w:r w:rsidDel="00000000" w:rsidR="00000000" w:rsidRPr="00000000">
                <w:rPr>
                  <w:rFonts w:ascii="Arial Narrow" w:cs="Arial Narrow" w:eastAsia="Arial Narrow" w:hAnsi="Arial Narrow"/>
                  <w:b w:val="1"/>
                  <w:bCs w:val="1"/>
                  <w:color w:val="000000"/>
                  <w:sz w:val="20"/>
                  <w:szCs w:val="20"/>
                  <w:u w:val="single"/>
                  <w:rtl w:val="0"/>
                </w:rPr>
                <w:t xml:space="preserve">Reforma învățământului preuniversitar în România: Consolidarea sistemelor de guvernanță, de evaluare și de sprijin</w:t>
              </w:r>
            </w:hyperlink>
            <w:r w:rsidDel="00000000" w:rsidR="00000000" w:rsidRPr="00000000">
              <w:rPr>
                <w:rtl w:val="0"/>
              </w:rPr>
            </w:r>
          </w:p>
          <w:p w:rsidR="00000000" w:rsidDel="00000000" w:rsidP="00000000" w:rsidRDefault="00000000" w:rsidRPr="00000000" w14:paraId="000000FB">
            <w:pPr>
              <w:spacing w:after="0"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b w:val="1"/>
                <w:bCs w:val="1"/>
                <w:sz w:val="20"/>
                <w:szCs w:val="20"/>
                <w:rtl w:val="0"/>
              </w:rPr>
              <w:t xml:space="preserve">OECD (2025)</w:t>
            </w:r>
            <w:r w:rsidDel="00000000" w:rsidR="00000000" w:rsidRPr="00000000">
              <w:rPr>
                <w:rFonts w:ascii="Arial Narrow" w:cs="Arial Narrow" w:eastAsia="Arial Narrow" w:hAnsi="Arial Narrow"/>
                <w:sz w:val="20"/>
                <w:szCs w:val="20"/>
                <w:rtl w:val="0"/>
              </w:rPr>
              <w:t xml:space="preserve">. Education Policy Outlook 2025: Nurturing Engaged and Resilient Lifelong Learners in a World of Digital Transformation, OECD Publishing, Paris, </w:t>
            </w:r>
            <w:hyperlink r:id="rId24">
              <w:r w:rsidDel="00000000" w:rsidR="00000000" w:rsidRPr="00000000">
                <w:rPr>
                  <w:rFonts w:ascii="Arial Narrow" w:cs="Arial Narrow" w:eastAsia="Arial Narrow" w:hAnsi="Arial Narrow"/>
                  <w:color w:val="0000ff"/>
                  <w:sz w:val="20"/>
                  <w:szCs w:val="20"/>
                  <w:u w:val="single"/>
                  <w:rtl w:val="0"/>
                </w:rPr>
                <w:t xml:space="preserve">https://doi.org/10.1787/c3f402ba-en</w:t>
              </w:r>
            </w:hyperlink>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FC">
            <w:pPr>
              <w:spacing w:after="0" w:line="240" w:lineRule="auto"/>
              <w:jc w:val="both"/>
              <w:rPr>
                <w:rFonts w:ascii="Arial Narrow" w:cs="Arial Narrow" w:eastAsia="Arial Narrow" w:hAnsi="Arial Narrow"/>
                <w:color w:val="333333"/>
                <w:sz w:val="20"/>
                <w:szCs w:val="20"/>
              </w:rPr>
            </w:pPr>
            <w:r w:rsidDel="00000000" w:rsidR="00000000" w:rsidRPr="00000000">
              <w:rPr>
                <w:rFonts w:ascii="Arial Narrow" w:cs="Arial Narrow" w:eastAsia="Arial Narrow" w:hAnsi="Arial Narrow"/>
                <w:sz w:val="20"/>
                <w:szCs w:val="20"/>
                <w:rtl w:val="0"/>
              </w:rPr>
              <w:t xml:space="preserve">Pellegrini, M., Vivanet, G. (2021). Evidence-based Policies in Education: Initiatives and Challenges in Europe. </w:t>
            </w:r>
            <w:r w:rsidDel="00000000" w:rsidR="00000000" w:rsidRPr="00000000">
              <w:rPr>
                <w:rFonts w:ascii="Arial Narrow" w:cs="Arial Narrow" w:eastAsia="Arial Narrow" w:hAnsi="Arial Narrow"/>
                <w:i w:val="1"/>
                <w:iCs w:val="1"/>
                <w:sz w:val="20"/>
                <w:szCs w:val="20"/>
                <w:rtl w:val="0"/>
              </w:rPr>
              <w:t xml:space="preserve">ECNU Review of Education. </w:t>
            </w:r>
            <w:r w:rsidDel="00000000" w:rsidR="00000000" w:rsidRPr="00000000">
              <w:rPr>
                <w:rFonts w:ascii="Arial Narrow" w:cs="Arial Narrow" w:eastAsia="Arial Narrow" w:hAnsi="Arial Narrow"/>
                <w:sz w:val="20"/>
                <w:szCs w:val="20"/>
                <w:rtl w:val="0"/>
              </w:rPr>
              <w:t xml:space="preserve">4(1): 25-45</w:t>
            </w:r>
            <w:r w:rsidDel="00000000" w:rsidR="00000000" w:rsidRPr="00000000">
              <w:rPr>
                <w:rFonts w:ascii="Arial Narrow" w:cs="Arial Narrow" w:eastAsia="Arial Narrow" w:hAnsi="Arial Narrow"/>
                <w:color w:val="333333"/>
                <w:sz w:val="20"/>
                <w:szCs w:val="20"/>
                <w:rtl w:val="0"/>
              </w:rPr>
              <w:t xml:space="preserve">. doi:</w:t>
            </w:r>
            <w:hyperlink r:id="rId25">
              <w:r w:rsidDel="00000000" w:rsidR="00000000" w:rsidRPr="00000000">
                <w:rPr>
                  <w:rFonts w:ascii="Arial Narrow" w:cs="Arial Narrow" w:eastAsia="Arial Narrow" w:hAnsi="Arial Narrow"/>
                  <w:color w:val="006acc"/>
                  <w:sz w:val="20"/>
                  <w:szCs w:val="20"/>
                  <w:u w:val="single"/>
                  <w:rtl w:val="0"/>
                </w:rPr>
                <w:t xml:space="preserve">10.1177/2096531120924670</w:t>
              </w:r>
            </w:hyperlink>
            <w:r w:rsidDel="00000000" w:rsidR="00000000" w:rsidRPr="00000000">
              <w:rPr>
                <w:rtl w:val="0"/>
              </w:rPr>
            </w:r>
          </w:p>
          <w:p w:rsidR="00000000" w:rsidDel="00000000" w:rsidP="00000000" w:rsidRDefault="00000000" w:rsidRPr="00000000" w14:paraId="000000FD">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Perryman, N., Ball, S.J., Braun, A. &amp; Maguire, M. (2017). Translating policy: governmentality and the reflective teacher, </w:t>
            </w:r>
            <w:r w:rsidDel="00000000" w:rsidR="00000000" w:rsidRPr="00000000">
              <w:rPr>
                <w:rFonts w:ascii="Calibri" w:cs="Calibri" w:eastAsia="Calibri" w:hAnsi="Calibri"/>
                <w:i w:val="1"/>
                <w:iCs w:val="1"/>
                <w:sz w:val="20"/>
                <w:szCs w:val="20"/>
                <w:rtl w:val="0"/>
              </w:rPr>
              <w:t xml:space="preserve">Journal of Education Policy</w:t>
            </w:r>
            <w:r w:rsidDel="00000000" w:rsidR="00000000" w:rsidRPr="00000000">
              <w:rPr>
                <w:rFonts w:ascii="Calibri" w:cs="Calibri" w:eastAsia="Calibri" w:hAnsi="Calibri"/>
                <w:sz w:val="20"/>
                <w:szCs w:val="20"/>
                <w:rtl w:val="0"/>
              </w:rPr>
              <w:t xml:space="preserve">, 32(6), 745-756</w:t>
            </w:r>
          </w:p>
          <w:p w:rsidR="00000000" w:rsidDel="00000000" w:rsidP="00000000" w:rsidRDefault="00000000" w:rsidRPr="00000000" w14:paraId="000000FE">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Președenția României (2020). România educată – propuneri de politici educaționale, cu sprijinul OECD. </w:t>
            </w:r>
            <w:hyperlink r:id="rId26">
              <w:r w:rsidDel="00000000" w:rsidR="00000000" w:rsidRPr="00000000">
                <w:rPr>
                  <w:rFonts w:ascii="Calibri" w:cs="Calibri" w:eastAsia="Calibri" w:hAnsi="Calibri"/>
                  <w:color w:val="0000ff"/>
                  <w:sz w:val="20"/>
                  <w:szCs w:val="20"/>
                  <w:u w:val="single"/>
                  <w:rtl w:val="0"/>
                </w:rPr>
                <w:t xml:space="preserve">https://www.presidency.ro/ro/angajamente/romania-educata</w:t>
              </w:r>
            </w:hyperlink>
            <w:r w:rsidDel="00000000" w:rsidR="00000000" w:rsidRPr="00000000">
              <w:rPr>
                <w:rFonts w:ascii="Calibri" w:cs="Calibri" w:eastAsia="Calibri" w:hAnsi="Calibri"/>
                <w:sz w:val="20"/>
                <w:szCs w:val="20"/>
                <w:rtl w:val="0"/>
              </w:rPr>
              <w:t xml:space="preserve">, </w:t>
            </w:r>
            <w:hyperlink r:id="rId27">
              <w:r w:rsidDel="00000000" w:rsidR="00000000" w:rsidRPr="00000000">
                <w:rPr>
                  <w:rFonts w:ascii="Calibri" w:cs="Calibri" w:eastAsia="Calibri" w:hAnsi="Calibri"/>
                  <w:color w:val="0000ff"/>
                  <w:sz w:val="20"/>
                  <w:szCs w:val="20"/>
                  <w:u w:val="single"/>
                  <w:rtl w:val="0"/>
                </w:rPr>
                <w:t xml:space="preserve">http://www.romaniaeducata.eu/rezultatele-proiectului/#ink-tabs-147510000-6</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0FF">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Sava, S. (2015), Beneficiile învățării de-a lungul întregii vieți – implicații de politică educațională.</w:t>
            </w:r>
            <w:r w:rsidDel="00000000" w:rsidR="00000000" w:rsidRPr="00000000">
              <w:rPr>
                <w:rFonts w:ascii="Calibri" w:cs="Calibri" w:eastAsia="Calibri" w:hAnsi="Calibri"/>
                <w:i w:val="1"/>
                <w:iCs w:val="1"/>
                <w:sz w:val="20"/>
                <w:szCs w:val="20"/>
                <w:rtl w:val="0"/>
              </w:rPr>
              <w:t xml:space="preserve"> </w:t>
            </w:r>
            <w:r w:rsidDel="00000000" w:rsidR="00000000" w:rsidRPr="00000000">
              <w:rPr>
                <w:rFonts w:ascii="Calibri" w:cs="Calibri" w:eastAsia="Calibri" w:hAnsi="Calibri"/>
                <w:sz w:val="20"/>
                <w:szCs w:val="20"/>
                <w:rtl w:val="0"/>
              </w:rPr>
              <w:t xml:space="preserve">In </w:t>
            </w:r>
            <w:r w:rsidDel="00000000" w:rsidR="00000000" w:rsidRPr="00000000">
              <w:rPr>
                <w:rFonts w:ascii="Calibri" w:cs="Calibri" w:eastAsia="Calibri" w:hAnsi="Calibri"/>
                <w:i w:val="1"/>
                <w:iCs w:val="1"/>
                <w:sz w:val="20"/>
                <w:szCs w:val="20"/>
                <w:rtl w:val="0"/>
              </w:rPr>
              <w:t xml:space="preserve"> </w:t>
            </w:r>
            <w:r w:rsidDel="00000000" w:rsidR="00000000" w:rsidRPr="00000000">
              <w:rPr>
                <w:rFonts w:ascii="Calibri" w:cs="Calibri" w:eastAsia="Calibri" w:hAnsi="Calibri"/>
                <w:sz w:val="20"/>
                <w:szCs w:val="20"/>
                <w:rtl w:val="0"/>
              </w:rPr>
              <w:t xml:space="preserve">Sava S. (2015, coord.) </w:t>
            </w:r>
            <w:r w:rsidDel="00000000" w:rsidR="00000000" w:rsidRPr="00000000">
              <w:rPr>
                <w:rFonts w:ascii="Calibri" w:cs="Calibri" w:eastAsia="Calibri" w:hAnsi="Calibri"/>
                <w:i w:val="1"/>
                <w:iCs w:val="1"/>
                <w:sz w:val="20"/>
                <w:szCs w:val="20"/>
                <w:rtl w:val="0"/>
              </w:rPr>
              <w:t xml:space="preserve">Perspective pentru cercetarea in educatie</w:t>
            </w:r>
            <w:r w:rsidDel="00000000" w:rsidR="00000000" w:rsidRPr="00000000">
              <w:rPr>
                <w:rFonts w:ascii="Calibri" w:cs="Calibri" w:eastAsia="Calibri" w:hAnsi="Calibri"/>
                <w:sz w:val="20"/>
                <w:szCs w:val="20"/>
                <w:rtl w:val="0"/>
              </w:rPr>
              <w:t xml:space="preserve">. Bucuresti: Ed. Universitară;</w:t>
            </w:r>
          </w:p>
          <w:p w:rsidR="00000000" w:rsidDel="00000000" w:rsidP="00000000" w:rsidRDefault="00000000" w:rsidRPr="00000000" w14:paraId="00000100">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b w:val="1"/>
                <w:bCs w:val="1"/>
                <w:sz w:val="20"/>
                <w:szCs w:val="20"/>
                <w:rtl w:val="0"/>
              </w:rPr>
              <w:t xml:space="preserve">Sava, S.</w:t>
            </w:r>
            <w:r w:rsidDel="00000000" w:rsidR="00000000" w:rsidRPr="00000000">
              <w:rPr>
                <w:rFonts w:ascii="Calibri" w:cs="Calibri" w:eastAsia="Calibri" w:hAnsi="Calibri"/>
                <w:sz w:val="20"/>
                <w:szCs w:val="20"/>
                <w:rtl w:val="0"/>
              </w:rPr>
              <w:t xml:space="preserve">, Crașovan, M. (2017). Strategia naţională de învăţare de-a lungul întregii vieţi – analiză discursivă, în S. Sava, Lustrea, A., Crașovan, M. (coord.).</w:t>
            </w:r>
            <w:r w:rsidDel="00000000" w:rsidR="00000000" w:rsidRPr="00000000">
              <w:rPr>
                <w:rFonts w:ascii="Calibri" w:cs="Calibri" w:eastAsia="Calibri" w:hAnsi="Calibri"/>
                <w:i w:val="1"/>
                <w:iCs w:val="1"/>
                <w:sz w:val="20"/>
                <w:szCs w:val="20"/>
                <w:rtl w:val="0"/>
              </w:rPr>
              <w:t xml:space="preserve"> Stimularea participării adulţilor la educaţie - Perspective asupra implementării strategiei naţionale de învăţare pe tot parcursul vieţii: Volumul celei de a IV-a. </w:t>
            </w:r>
            <w:r w:rsidDel="00000000" w:rsidR="00000000" w:rsidRPr="00000000">
              <w:rPr>
                <w:rFonts w:ascii="Calibri" w:cs="Calibri" w:eastAsia="Calibri" w:hAnsi="Calibri"/>
                <w:sz w:val="20"/>
                <w:szCs w:val="20"/>
                <w:rtl w:val="0"/>
              </w:rPr>
              <w:t xml:space="preserve">Timișoara, Ed. Universității de Vest, p.125-153</w:t>
            </w:r>
          </w:p>
          <w:p w:rsidR="00000000" w:rsidDel="00000000" w:rsidP="00000000" w:rsidRDefault="00000000" w:rsidRPr="00000000" w14:paraId="00000101">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b w:val="1"/>
                <w:bCs w:val="1"/>
                <w:sz w:val="20"/>
                <w:szCs w:val="20"/>
                <w:rtl w:val="0"/>
              </w:rPr>
              <w:t xml:space="preserve">Sava, S. (2019). </w:t>
            </w:r>
            <w:r w:rsidDel="00000000" w:rsidR="00000000" w:rsidRPr="00000000">
              <w:rPr>
                <w:rFonts w:ascii="Calibri" w:cs="Calibri" w:eastAsia="Calibri" w:hAnsi="Calibri"/>
                <w:sz w:val="20"/>
                <w:szCs w:val="20"/>
                <w:rtl w:val="0"/>
              </w:rPr>
              <w:t xml:space="preserve">Politica educațională în domeniul educației adulților în România. În Sava, S., Paloș, R. (coord.). </w:t>
            </w:r>
            <w:r w:rsidDel="00000000" w:rsidR="00000000" w:rsidRPr="00000000">
              <w:rPr>
                <w:rFonts w:ascii="Calibri" w:cs="Calibri" w:eastAsia="Calibri" w:hAnsi="Calibri"/>
                <w:i w:val="1"/>
                <w:iCs w:val="1"/>
                <w:sz w:val="20"/>
                <w:szCs w:val="20"/>
                <w:rtl w:val="0"/>
              </w:rPr>
              <w:t xml:space="preserve">Educația adulților, Baze teoretice și practice. </w:t>
            </w:r>
            <w:r w:rsidDel="00000000" w:rsidR="00000000" w:rsidRPr="00000000">
              <w:rPr>
                <w:rFonts w:ascii="Calibri" w:cs="Calibri" w:eastAsia="Calibri" w:hAnsi="Calibri"/>
                <w:sz w:val="20"/>
                <w:szCs w:val="20"/>
                <w:rtl w:val="0"/>
              </w:rPr>
              <w:t xml:space="preserve">Iași: Polirom, p.78-82.</w:t>
            </w:r>
          </w:p>
          <w:p w:rsidR="00000000" w:rsidDel="00000000" w:rsidP="00000000" w:rsidRDefault="00000000" w:rsidRPr="00000000" w14:paraId="00000102">
            <w:pPr>
              <w:spacing w:after="0" w:lineRule="auto"/>
              <w:rPr>
                <w:rFonts w:ascii="Arial Narrow" w:cs="Arial Narrow" w:eastAsia="Arial Narrow" w:hAnsi="Arial Narrow"/>
                <w:color w:val="000000"/>
                <w:sz w:val="20"/>
                <w:szCs w:val="20"/>
                <w:u w:val="single"/>
              </w:rPr>
            </w:pPr>
            <w:r w:rsidDel="00000000" w:rsidR="00000000" w:rsidRPr="00000000">
              <w:rPr>
                <w:rFonts w:ascii="Arial Narrow" w:cs="Arial Narrow" w:eastAsia="Arial Narrow" w:hAnsi="Arial Narrow"/>
                <w:sz w:val="20"/>
                <w:szCs w:val="20"/>
                <w:rtl w:val="0"/>
              </w:rPr>
              <w:t xml:space="preserve">Sava, S. (2020). De la formulare de politici educationale la practici reale – Tinerii NEETs din Romania. </w:t>
            </w:r>
            <w:r w:rsidDel="00000000" w:rsidR="00000000" w:rsidRPr="00000000">
              <w:rPr>
                <w:rFonts w:ascii="Arial Narrow" w:cs="Arial Narrow" w:eastAsia="Arial Narrow" w:hAnsi="Arial Narrow"/>
                <w:i w:val="1"/>
                <w:iCs w:val="1"/>
                <w:sz w:val="20"/>
                <w:szCs w:val="20"/>
                <w:rtl w:val="0"/>
              </w:rPr>
              <w:t xml:space="preserve">Revista de pedagogie</w:t>
            </w:r>
            <w:r w:rsidDel="00000000" w:rsidR="00000000" w:rsidRPr="00000000">
              <w:rPr>
                <w:rFonts w:ascii="Arial Narrow" w:cs="Arial Narrow" w:eastAsia="Arial Narrow" w:hAnsi="Arial Narrow"/>
                <w:sz w:val="20"/>
                <w:szCs w:val="20"/>
                <w:rtl w:val="0"/>
              </w:rPr>
              <w:t xml:space="preserve">. LXVIII(2), 105-124. </w:t>
            </w:r>
            <w:hyperlink r:id="rId28">
              <w:r w:rsidDel="00000000" w:rsidR="00000000" w:rsidRPr="00000000">
                <w:rPr>
                  <w:rFonts w:ascii="Arial Narrow" w:cs="Arial Narrow" w:eastAsia="Arial Narrow" w:hAnsi="Arial Narrow"/>
                  <w:color w:val="0000ff"/>
                  <w:sz w:val="20"/>
                  <w:szCs w:val="20"/>
                  <w:u w:val="single"/>
                  <w:rtl w:val="0"/>
                </w:rPr>
                <w:t xml:space="preserve">https://doi.org/10.26755/RevPed/2020.2/105</w:t>
              </w:r>
            </w:hyperlink>
            <w:r w:rsidDel="00000000" w:rsidR="00000000" w:rsidRPr="00000000">
              <w:rPr>
                <w:rtl w:val="0"/>
              </w:rPr>
            </w:r>
          </w:p>
          <w:p w:rsidR="00000000" w:rsidDel="00000000" w:rsidP="00000000" w:rsidRDefault="00000000" w:rsidRPr="00000000" w14:paraId="00000103">
            <w:pPr>
              <w:spacing w:after="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Scorțescu, M., Sava, S., Crașovan, M. (2023). Mentorii de practică pedagogică - o analiză a nevoilor şi practicilor de dezvoltare profesională. Revista de Pedagogie - Journal of Pedagogy, LXXI(1). 105 – 130. </w:t>
            </w:r>
            <w:hyperlink r:id="rId29">
              <w:r w:rsidDel="00000000" w:rsidR="00000000" w:rsidRPr="00000000">
                <w:rPr>
                  <w:rFonts w:ascii="Arial Narrow" w:cs="Arial Narrow" w:eastAsia="Arial Narrow" w:hAnsi="Arial Narrow"/>
                  <w:color w:val="0000ff"/>
                  <w:sz w:val="20"/>
                  <w:szCs w:val="20"/>
                  <w:u w:val="single"/>
                  <w:rtl w:val="0"/>
                </w:rPr>
                <w:t xml:space="preserve">https://doi.org/10.26755/RevPed/2023.1/105</w:t>
              </w:r>
            </w:hyperlink>
            <w:r w:rsidDel="00000000" w:rsidR="00000000" w:rsidRPr="00000000">
              <w:rPr>
                <w:rtl w:val="0"/>
              </w:rPr>
            </w:r>
          </w:p>
          <w:p w:rsidR="00000000" w:rsidDel="00000000" w:rsidP="00000000" w:rsidRDefault="00000000" w:rsidRPr="00000000" w14:paraId="00000104">
            <w:pPr>
              <w:spacing w:after="0" w:line="240" w:lineRule="auto"/>
              <w:ind w:hanging="2"/>
              <w:rPr>
                <w:rFonts w:ascii="Arial Narrow" w:cs="Arial Narrow" w:eastAsia="Arial Narrow" w:hAnsi="Arial Narrow"/>
                <w:sz w:val="20"/>
                <w:szCs w:val="20"/>
              </w:rPr>
            </w:pPr>
            <w:r w:rsidDel="00000000" w:rsidR="00000000" w:rsidRPr="00000000">
              <w:rPr>
                <w:rFonts w:ascii="Times New Roman" w:cs="Times New Roman" w:eastAsia="Times New Roman" w:hAnsi="Times New Roman"/>
                <w:sz w:val="20"/>
                <w:szCs w:val="20"/>
                <w:rtl w:val="0"/>
              </w:rPr>
              <w:t xml:space="preserve">Târcă. A. (2025). Cum să ne transformăm școala. Reflecții și practici de leadership modern. Ed. Cartex</w:t>
            </w:r>
            <w:r w:rsidDel="00000000" w:rsidR="00000000" w:rsidRPr="00000000">
              <w:rPr>
                <w:rtl w:val="0"/>
              </w:rPr>
            </w:r>
          </w:p>
          <w:p w:rsidR="00000000" w:rsidDel="00000000" w:rsidP="00000000" w:rsidRDefault="00000000" w:rsidRPr="00000000" w14:paraId="00000105">
            <w:pPr>
              <w:spacing w:after="0" w:lineRule="auto"/>
              <w:rPr>
                <w:rFonts w:ascii="Arial Narrow" w:cs="Arial Narrow" w:eastAsia="Arial Narrow" w:hAnsi="Arial Narrow"/>
                <w:color w:val="333333"/>
              </w:rPr>
            </w:pPr>
            <w:r w:rsidDel="00000000" w:rsidR="00000000" w:rsidRPr="00000000">
              <w:rPr>
                <w:rFonts w:ascii="Arial Narrow" w:cs="Arial Narrow" w:eastAsia="Arial Narrow" w:hAnsi="Arial Narrow"/>
                <w:sz w:val="20"/>
                <w:szCs w:val="20"/>
                <w:rtl w:val="0"/>
              </w:rPr>
              <w:t xml:space="preserve">Ulrich Hygum, C., &amp; Hygum, E. (2023). </w:t>
            </w:r>
            <w:hyperlink r:id="rId30">
              <w:r w:rsidDel="00000000" w:rsidR="00000000" w:rsidRPr="00000000">
                <w:rPr>
                  <w:rFonts w:ascii="Arial Narrow" w:cs="Arial Narrow" w:eastAsia="Arial Narrow" w:hAnsi="Arial Narrow"/>
                  <w:color w:val="0000ff"/>
                  <w:u w:val="single"/>
                  <w:rtl w:val="0"/>
                </w:rPr>
                <w:t xml:space="preserve">Mind the crèche! Controversial perspectives on the educational quality of Romanian crèches</w:t>
              </w:r>
            </w:hyperlink>
            <w:r w:rsidDel="00000000" w:rsidR="00000000" w:rsidRPr="00000000">
              <w:rPr>
                <w:rFonts w:ascii="Arial Narrow" w:cs="Arial Narrow" w:eastAsia="Arial Narrow" w:hAnsi="Arial Narrow"/>
                <w:color w:val="333333"/>
                <w:rtl w:val="0"/>
              </w:rPr>
              <w:t xml:space="preserve">, European Early Childhood Education Research Journal, 31:5, 739-751, DOI: </w:t>
            </w:r>
            <w:hyperlink r:id="rId31">
              <w:r w:rsidDel="00000000" w:rsidR="00000000" w:rsidRPr="00000000">
                <w:rPr>
                  <w:rFonts w:ascii="Arial Narrow" w:cs="Arial Narrow" w:eastAsia="Arial Narrow" w:hAnsi="Arial Narrow"/>
                  <w:color w:val="333333"/>
                  <w:u w:val="single"/>
                  <w:rtl w:val="0"/>
                </w:rPr>
                <w:t xml:space="preserve">10.1080/1350293X.2023.2184843</w:t>
              </w:r>
            </w:hyperlink>
            <w:r w:rsidDel="00000000" w:rsidR="00000000" w:rsidRPr="00000000">
              <w:rPr>
                <w:rtl w:val="0"/>
              </w:rPr>
            </w:r>
          </w:p>
          <w:p w:rsidR="00000000" w:rsidDel="00000000" w:rsidP="00000000" w:rsidRDefault="00000000" w:rsidRPr="00000000" w14:paraId="00000106">
            <w:pPr>
              <w:spacing w:after="0" w:lineRule="auto"/>
              <w:rPr>
                <w:rFonts w:ascii="Arial Narrow" w:cs="Arial Narrow" w:eastAsia="Arial Narrow" w:hAnsi="Arial Narrow"/>
                <w:sz w:val="20"/>
                <w:szCs w:val="20"/>
              </w:rPr>
            </w:pPr>
            <w:r w:rsidDel="00000000" w:rsidR="00000000" w:rsidRPr="00000000">
              <w:rPr>
                <w:rFonts w:ascii="Arial Narrow" w:cs="Arial Narrow" w:eastAsia="Arial Narrow" w:hAnsi="Arial Narrow"/>
                <w:color w:val="333333"/>
                <w:rtl w:val="0"/>
              </w:rPr>
              <w:t xml:space="preserve">Ulrich-Hygum, C. (2012). </w:t>
            </w:r>
            <w:hyperlink r:id="rId32">
              <w:r w:rsidDel="00000000" w:rsidR="00000000" w:rsidRPr="00000000">
                <w:rPr>
                  <w:rFonts w:ascii="Arial Narrow" w:cs="Arial Narrow" w:eastAsia="Arial Narrow" w:hAnsi="Arial Narrow"/>
                  <w:color w:val="0000ff"/>
                  <w:u w:val="single"/>
                  <w:rtl w:val="0"/>
                </w:rPr>
                <w:t xml:space="preserve">Scaling up early child development in Romania</w:t>
              </w:r>
            </w:hyperlink>
            <w:r w:rsidDel="00000000" w:rsidR="00000000" w:rsidRPr="00000000">
              <w:rPr>
                <w:rFonts w:ascii="Arial Narrow" w:cs="Arial Narrow" w:eastAsia="Arial Narrow" w:hAnsi="Arial Narrow"/>
                <w:color w:val="333333"/>
                <w:rtl w:val="0"/>
              </w:rPr>
              <w:t xml:space="preserve">. Global Economy and Development Working paper 51</w:t>
            </w:r>
            <w:r w:rsidDel="00000000" w:rsidR="00000000" w:rsidRPr="00000000">
              <w:rPr>
                <w:rtl w:val="0"/>
              </w:rPr>
            </w:r>
          </w:p>
          <w:p w:rsidR="00000000" w:rsidDel="00000000" w:rsidP="00000000" w:rsidRDefault="00000000" w:rsidRPr="00000000" w14:paraId="00000107">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UNESCO (2013). </w:t>
            </w:r>
            <w:r w:rsidDel="00000000" w:rsidR="00000000" w:rsidRPr="00000000">
              <w:rPr>
                <w:rFonts w:ascii="Calibri" w:cs="Calibri" w:eastAsia="Calibri" w:hAnsi="Calibri"/>
                <w:i w:val="1"/>
                <w:iCs w:val="1"/>
                <w:sz w:val="20"/>
                <w:szCs w:val="20"/>
                <w:rtl w:val="0"/>
              </w:rPr>
              <w:t xml:space="preserve">UNESCO Handobook on policy analysis, vol.I, II. </w:t>
            </w:r>
            <w:r w:rsidDel="00000000" w:rsidR="00000000" w:rsidRPr="00000000">
              <w:rPr>
                <w:rFonts w:ascii="Calibri" w:cs="Calibri" w:eastAsia="Calibri" w:hAnsi="Calibri"/>
                <w:sz w:val="20"/>
                <w:szCs w:val="20"/>
                <w:rtl w:val="0"/>
              </w:rPr>
              <w:t xml:space="preserve">Paris/ Hamburg: UNESCO.</w:t>
            </w:r>
          </w:p>
          <w:p w:rsidR="00000000" w:rsidDel="00000000" w:rsidP="00000000" w:rsidRDefault="00000000" w:rsidRPr="00000000" w14:paraId="00000108">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UN, UNESCO, UNICEF, World Bank, UNFPA, UNDP, UN Women, UNHCR. (2015). </w:t>
            </w:r>
            <w:r w:rsidDel="00000000" w:rsidR="00000000" w:rsidRPr="00000000">
              <w:rPr>
                <w:rFonts w:ascii="Calibri" w:cs="Calibri" w:eastAsia="Calibri" w:hAnsi="Calibri"/>
                <w:i w:val="1"/>
                <w:iCs w:val="1"/>
                <w:sz w:val="20"/>
                <w:szCs w:val="20"/>
                <w:rtl w:val="0"/>
              </w:rPr>
              <w:t xml:space="preserve">Education 2030</w:t>
            </w:r>
            <w:r w:rsidDel="00000000" w:rsidR="00000000" w:rsidRPr="00000000">
              <w:rPr>
                <w:rFonts w:ascii="Calibri" w:cs="Calibri" w:eastAsia="Calibri" w:hAnsi="Calibri"/>
                <w:sz w:val="20"/>
                <w:szCs w:val="20"/>
                <w:rtl w:val="0"/>
              </w:rPr>
              <w:t xml:space="preserve">, Incheon Declaration - Towards inclusive and equitable quality education and lifelong learning for all.</w:t>
            </w:r>
            <w:hyperlink r:id="rId33">
              <w:r w:rsidDel="00000000" w:rsidR="00000000" w:rsidRPr="00000000">
                <w:rPr>
                  <w:rFonts w:ascii="Calibri" w:cs="Calibri" w:eastAsia="Calibri" w:hAnsi="Calibri"/>
                  <w:sz w:val="20"/>
                  <w:szCs w:val="20"/>
                  <w:rtl w:val="0"/>
                </w:rPr>
                <w:t xml:space="preserve">http://www.uis.unesco.org/Education/Documents/incheon-framework-for-action-en.pdf</w:t>
              </w:r>
            </w:hyperlink>
            <w:r w:rsidDel="00000000" w:rsidR="00000000" w:rsidRPr="00000000">
              <w:rPr>
                <w:rtl w:val="0"/>
              </w:rPr>
            </w:r>
          </w:p>
          <w:p w:rsidR="00000000" w:rsidDel="00000000" w:rsidP="00000000" w:rsidRDefault="00000000" w:rsidRPr="00000000" w14:paraId="00000109">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color w:val="000000"/>
                <w:sz w:val="20"/>
                <w:szCs w:val="20"/>
                <w:u w:val="none"/>
                <w:rtl w:val="0"/>
              </w:rPr>
              <w:t xml:space="preserve">Vlă</w:t>
            </w:r>
            <w:r w:rsidDel="00000000" w:rsidR="00000000" w:rsidRPr="00000000">
              <w:rPr>
                <w:rFonts w:ascii="Calibri" w:cs="Calibri" w:eastAsia="Calibri" w:hAnsi="Calibri"/>
                <w:color w:val="000000"/>
                <w:sz w:val="20"/>
                <w:szCs w:val="20"/>
                <w:u w:val="single"/>
                <w:rtl w:val="0"/>
              </w:rPr>
              <w:t xml:space="preserve">s</w:t>
            </w:r>
            <w:r w:rsidDel="00000000" w:rsidR="00000000" w:rsidRPr="00000000">
              <w:rPr>
                <w:rFonts w:ascii="Calibri" w:cs="Calibri" w:eastAsia="Calibri" w:hAnsi="Calibri"/>
                <w:color w:val="000000"/>
                <w:sz w:val="20"/>
                <w:szCs w:val="20"/>
                <w:u w:val="none"/>
                <w:rtl w:val="0"/>
              </w:rPr>
              <w:t xml:space="preserve">ceanu, L. (2019). </w:t>
            </w:r>
            <w:r w:rsidDel="00000000" w:rsidR="00000000" w:rsidRPr="00000000">
              <w:rPr>
                <w:rFonts w:ascii="Calibri" w:cs="Calibri" w:eastAsia="Calibri" w:hAnsi="Calibri"/>
                <w:i w:val="1"/>
                <w:iCs w:val="1"/>
                <w:color w:val="000000"/>
                <w:sz w:val="20"/>
                <w:szCs w:val="20"/>
                <w:u w:val="none"/>
                <w:rtl w:val="0"/>
              </w:rPr>
              <w:t xml:space="preserve">Educaţie şi putere sau despre educaţia pe care încă nu o avem. </w:t>
            </w:r>
            <w:r w:rsidDel="00000000" w:rsidR="00000000" w:rsidRPr="00000000">
              <w:rPr>
                <w:rFonts w:ascii="Calibri" w:cs="Calibri" w:eastAsia="Calibri" w:hAnsi="Calibri"/>
                <w:color w:val="000000"/>
                <w:sz w:val="20"/>
                <w:szCs w:val="20"/>
                <w:u w:val="none"/>
                <w:rtl w:val="0"/>
              </w:rPr>
              <w:t xml:space="preserve">Iași: Polirom</w:t>
            </w:r>
            <w:r w:rsidDel="00000000" w:rsidR="00000000" w:rsidRPr="00000000">
              <w:rPr>
                <w:rtl w:val="0"/>
              </w:rPr>
            </w:r>
          </w:p>
          <w:p w:rsidR="00000000" w:rsidDel="00000000" w:rsidP="00000000" w:rsidRDefault="00000000" w:rsidRPr="00000000" w14:paraId="0000010A">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Van der Sluis, M. E., Reezigt, Borghans, G.J., Borghans, L. (2016). Implementing New Public Management in Educational Policy. In </w:t>
            </w:r>
            <w:r w:rsidDel="00000000" w:rsidR="00000000" w:rsidRPr="00000000">
              <w:rPr>
                <w:rFonts w:ascii="Calibri" w:cs="Calibri" w:eastAsia="Calibri" w:hAnsi="Calibri"/>
                <w:i w:val="1"/>
                <w:iCs w:val="1"/>
                <w:sz w:val="20"/>
                <w:szCs w:val="20"/>
                <w:rtl w:val="0"/>
              </w:rPr>
              <w:t xml:space="preserve">Educational Policy. </w:t>
            </w:r>
            <w:r w:rsidDel="00000000" w:rsidR="00000000" w:rsidRPr="00000000">
              <w:rPr>
                <w:rFonts w:ascii="Calibri" w:cs="Calibri" w:eastAsia="Calibri" w:hAnsi="Calibri"/>
                <w:sz w:val="20"/>
                <w:szCs w:val="20"/>
                <w:rtl w:val="0"/>
              </w:rPr>
              <w:t xml:space="preserve">I-27. DOI: 10.1177/0895904815598393 </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Viennet, R., Pont, B. (2017). Education Policy Implementation: A literature review and proposed framework. OECD Education Working Papers, No.162. OECD Publishing. Paris. http://dx.doi.org/10.1787/fc467a64-en </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212529"/>
                <w:sz w:val="20"/>
                <w:szCs w:val="20"/>
                <w:highlight w:val="white"/>
                <w:u w:val="none"/>
                <w:vertAlign w:val="baseline"/>
                <w:rtl w:val="0"/>
              </w:rPr>
              <w:t xml:space="preserve">World Bank. 2023. Making Teacher Policy Work. © Washington, DC: World Bank. </w:t>
            </w:r>
            <w:hyperlink r:id="rId34">
              <w:r w:rsidDel="00000000" w:rsidR="00000000" w:rsidRPr="00000000">
                <w:rPr>
                  <w:rFonts w:ascii="Arial Narrow" w:cs="Arial Narrow" w:eastAsia="Arial Narrow" w:hAnsi="Arial Narrow"/>
                  <w:b w:val="0"/>
                  <w:bCs w:val="0"/>
                  <w:i w:val="0"/>
                  <w:iCs w:val="0"/>
                  <w:smallCaps w:val="0"/>
                  <w:strike w:val="0"/>
                  <w:color w:val="0000ff"/>
                  <w:sz w:val="20"/>
                  <w:szCs w:val="20"/>
                  <w:highlight w:val="white"/>
                  <w:u w:val="single"/>
                  <w:vertAlign w:val="baseline"/>
                  <w:rtl w:val="0"/>
                </w:rPr>
                <w:t xml:space="preserve">http://hdl.handle.net/10986/40579</w:t>
              </w:r>
            </w:hyperlink>
            <w:r w:rsidDel="00000000" w:rsidR="00000000" w:rsidRPr="00000000">
              <w:rPr>
                <w:rFonts w:ascii="Arial Narrow" w:cs="Arial Narrow" w:eastAsia="Arial Narrow" w:hAnsi="Arial Narrow"/>
                <w:b w:val="0"/>
                <w:bCs w:val="0"/>
                <w:i w:val="0"/>
                <w:iCs w:val="0"/>
                <w:smallCaps w:val="0"/>
                <w:strike w:val="0"/>
                <w:color w:val="212529"/>
                <w:sz w:val="20"/>
                <w:szCs w:val="20"/>
                <w:highlight w:val="white"/>
                <w:u w:val="none"/>
                <w:vertAlign w:val="baseline"/>
                <w:rtl w:val="0"/>
              </w:rPr>
              <w:t xml:space="preserve">.  </w:t>
            </w:r>
            <w:hyperlink r:id="rId35">
              <w:r w:rsidDel="00000000" w:rsidR="00000000" w:rsidRPr="00000000">
                <w:rPr>
                  <w:rFonts w:ascii="Arial Narrow" w:cs="Arial Narrow" w:eastAsia="Arial Narrow" w:hAnsi="Arial Narrow"/>
                  <w:b w:val="0"/>
                  <w:bCs w:val="0"/>
                  <w:i w:val="0"/>
                  <w:iCs w:val="0"/>
                  <w:smallCaps w:val="0"/>
                  <w:strike w:val="0"/>
                  <w:color w:val="0000ff"/>
                  <w:sz w:val="20"/>
                  <w:szCs w:val="20"/>
                  <w:highlight w:val="white"/>
                  <w:u w:val="single"/>
                  <w:vertAlign w:val="baseline"/>
                  <w:rtl w:val="0"/>
                </w:rPr>
                <w:t xml:space="preserve">https://openknowledge.worldbank.org/entities/publication/211c4d69-9013-4942-831f-4dbae5ede977</w:t>
              </w:r>
            </w:hyperlink>
            <w:r w:rsidDel="00000000" w:rsidR="00000000" w:rsidRPr="00000000">
              <w:rPr>
                <w:rFonts w:ascii="Arial Narrow" w:cs="Arial Narrow" w:eastAsia="Arial Narrow" w:hAnsi="Arial Narrow"/>
                <w:b w:val="0"/>
                <w:bCs w:val="0"/>
                <w:i w:val="0"/>
                <w:iCs w:val="0"/>
                <w:smallCaps w:val="0"/>
                <w:strike w:val="0"/>
                <w:color w:val="212529"/>
                <w:sz w:val="20"/>
                <w:szCs w:val="20"/>
                <w:highlight w:val="white"/>
                <w:u w:val="none"/>
                <w:vertAlign w:val="baseline"/>
                <w:rtl w:val="0"/>
              </w:rPr>
              <w:t xml:space="preserve"> </w:t>
            </w:r>
            <w:r w:rsidDel="00000000" w:rsidR="00000000" w:rsidRPr="00000000">
              <w:rPr>
                <w:rtl w:val="0"/>
              </w:rPr>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Young, T., Lewis, W.D. (2015). Educational Policy Implementation Revisited, In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Educational Policy, </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vol. 29(1)., 3-17. DOI: 10.1177/0895904815568936</w:t>
            </w:r>
          </w:p>
          <w:p w:rsidR="00000000" w:rsidDel="00000000" w:rsidP="00000000" w:rsidRDefault="00000000" w:rsidRPr="00000000" w14:paraId="0000010E">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Xxx (2006), </w:t>
            </w:r>
            <w:r w:rsidDel="00000000" w:rsidR="00000000" w:rsidRPr="00000000">
              <w:rPr>
                <w:rFonts w:ascii="Calibri" w:cs="Calibri" w:eastAsia="Calibri" w:hAnsi="Calibri"/>
                <w:i w:val="1"/>
                <w:iCs w:val="1"/>
                <w:sz w:val="20"/>
                <w:szCs w:val="20"/>
                <w:rtl w:val="0"/>
              </w:rPr>
              <w:t xml:space="preserve">Manual de metode folosite în planificarea politicilor publice și evaluarea impactului; </w:t>
            </w:r>
            <w:r w:rsidDel="00000000" w:rsidR="00000000" w:rsidRPr="00000000">
              <w:rPr>
                <w:rFonts w:ascii="Calibri" w:cs="Calibri" w:eastAsia="Calibri" w:hAnsi="Calibri"/>
                <w:sz w:val="20"/>
                <w:szCs w:val="20"/>
                <w:rtl w:val="0"/>
              </w:rPr>
              <w:t xml:space="preserve">Secretariatul General al Guvernului, București;</w:t>
            </w:r>
          </w:p>
          <w:p w:rsidR="00000000" w:rsidDel="00000000" w:rsidP="00000000" w:rsidRDefault="00000000" w:rsidRPr="00000000" w14:paraId="0000010F">
            <w:pPr>
              <w:spacing w:after="0" w:line="240" w:lineRule="auto"/>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Xxx (2005, 2006, 2007…, 2020, 2022)</w:t>
            </w:r>
            <w:r w:rsidDel="00000000" w:rsidR="00000000" w:rsidRPr="00000000">
              <w:rPr>
                <w:rFonts w:ascii="Calibri" w:cs="Calibri" w:eastAsia="Calibri" w:hAnsi="Calibri"/>
                <w:i w:val="1"/>
                <w:iCs w:val="1"/>
                <w:sz w:val="20"/>
                <w:szCs w:val="20"/>
                <w:rtl w:val="0"/>
              </w:rPr>
              <w:t xml:space="preserve">; Starea sistemului național de învățământ, </w:t>
            </w:r>
            <w:r w:rsidDel="00000000" w:rsidR="00000000" w:rsidRPr="00000000">
              <w:rPr>
                <w:rFonts w:ascii="Calibri" w:cs="Calibri" w:eastAsia="Calibri" w:hAnsi="Calibri"/>
                <w:sz w:val="20"/>
                <w:szCs w:val="20"/>
                <w:rtl w:val="0"/>
              </w:rPr>
              <w:t xml:space="preserve">MEd, București;</w:t>
            </w:r>
          </w:p>
          <w:p w:rsidR="00000000" w:rsidDel="00000000" w:rsidP="00000000" w:rsidRDefault="00000000" w:rsidRPr="00000000" w14:paraId="00000110">
            <w:pPr>
              <w:spacing w:after="0" w:line="240" w:lineRule="auto"/>
              <w:rPr>
                <w:rFonts w:ascii="Calibri" w:cs="Calibri" w:eastAsia="Calibri" w:hAnsi="Calibri"/>
                <w:sz w:val="20"/>
                <w:szCs w:val="20"/>
              </w:rPr>
            </w:pPr>
            <w:hyperlink r:id="rId36">
              <w:r w:rsidDel="00000000" w:rsidR="00000000" w:rsidRPr="00000000">
                <w:rPr>
                  <w:rFonts w:ascii="Calibri" w:cs="Calibri" w:eastAsia="Calibri" w:hAnsi="Calibri"/>
                  <w:color w:val="0000ff"/>
                  <w:sz w:val="20"/>
                  <w:szCs w:val="20"/>
                  <w:u w:val="single"/>
                  <w:rtl w:val="0"/>
                </w:rPr>
                <w:t xml:space="preserve">https://www.edu.ro/legisla%C8%9Bie-ordine-de-ministru</w:t>
              </w:r>
            </w:hyperlink>
            <w:r w:rsidDel="00000000" w:rsidR="00000000" w:rsidRPr="00000000">
              <w:rPr>
                <w:rFonts w:ascii="Calibri" w:cs="Calibri" w:eastAsia="Calibri" w:hAnsi="Calibri"/>
                <w:sz w:val="20"/>
                <w:szCs w:val="20"/>
                <w:rtl w:val="0"/>
              </w:rPr>
              <w:t xml:space="preserve"> – documentele legislative emise de ministerul educației</w:t>
            </w:r>
          </w:p>
          <w:p w:rsidR="00000000" w:rsidDel="00000000" w:rsidP="00000000" w:rsidRDefault="00000000" w:rsidRPr="00000000" w14:paraId="00000111">
            <w:pPr>
              <w:spacing w:after="0" w:line="240" w:lineRule="auto"/>
              <w:rPr>
                <w:rFonts w:ascii="Calibri" w:cs="Calibri" w:eastAsia="Calibri" w:hAnsi="Calibri"/>
                <w:sz w:val="20"/>
                <w:szCs w:val="20"/>
              </w:rPr>
            </w:pPr>
            <w:hyperlink r:id="rId37">
              <w:r w:rsidDel="00000000" w:rsidR="00000000" w:rsidRPr="00000000">
                <w:rPr>
                  <w:rFonts w:ascii="Calibri" w:cs="Calibri" w:eastAsia="Calibri" w:hAnsi="Calibri"/>
                  <w:color w:val="0000ff"/>
                  <w:sz w:val="20"/>
                  <w:szCs w:val="20"/>
                  <w:u w:val="single"/>
                  <w:rtl w:val="0"/>
                </w:rPr>
                <w:t xml:space="preserve">www.ise.ro</w:t>
              </w:r>
            </w:hyperlink>
            <w:r w:rsidDel="00000000" w:rsidR="00000000" w:rsidRPr="00000000">
              <w:rPr>
                <w:rFonts w:ascii="Calibri" w:cs="Calibri" w:eastAsia="Calibri" w:hAnsi="Calibri"/>
                <w:sz w:val="20"/>
                <w:szCs w:val="20"/>
                <w:rtl w:val="0"/>
              </w:rPr>
              <w:t xml:space="preserve"> – Centrul Național de Politici și Evaluare în Educație, Unitatea de Cercetare în Educație (fostul Institut de științe ale educației) – studii pentru fundamentarea de politici</w:t>
            </w:r>
          </w:p>
          <w:p w:rsidR="00000000" w:rsidDel="00000000" w:rsidP="00000000" w:rsidRDefault="00000000" w:rsidRPr="00000000" w14:paraId="00000112">
            <w:pPr>
              <w:spacing w:after="0" w:line="240" w:lineRule="auto"/>
              <w:rPr>
                <w:rFonts w:ascii="Calibri" w:cs="Calibri" w:eastAsia="Calibri" w:hAnsi="Calibri"/>
                <w:sz w:val="20"/>
                <w:szCs w:val="20"/>
              </w:rPr>
            </w:pPr>
            <w:hyperlink r:id="rId38">
              <w:r w:rsidDel="00000000" w:rsidR="00000000" w:rsidRPr="00000000">
                <w:rPr>
                  <w:rFonts w:ascii="Calibri" w:cs="Calibri" w:eastAsia="Calibri" w:hAnsi="Calibri"/>
                  <w:color w:val="0000ff"/>
                  <w:sz w:val="20"/>
                  <w:szCs w:val="20"/>
                  <w:u w:val="single"/>
                  <w:rtl w:val="0"/>
                </w:rPr>
                <w:t xml:space="preserve">http://eacea.ec.europa.eu/</w:t>
              </w:r>
            </w:hyperlink>
            <w:r w:rsidDel="00000000" w:rsidR="00000000" w:rsidRPr="00000000">
              <w:rPr>
                <w:rFonts w:ascii="Calibri" w:cs="Calibri" w:eastAsia="Calibri" w:hAnsi="Calibri"/>
                <w:sz w:val="20"/>
                <w:szCs w:val="20"/>
                <w:rtl w:val="0"/>
              </w:rPr>
              <w:t xml:space="preserve"> - site-ul Comisiei europene pentru educație</w:t>
            </w:r>
          </w:p>
          <w:p w:rsidR="00000000" w:rsidDel="00000000" w:rsidP="00000000" w:rsidRDefault="00000000" w:rsidRPr="00000000" w14:paraId="00000113">
            <w:pPr>
              <w:spacing w:after="0" w:line="240" w:lineRule="auto"/>
              <w:rPr>
                <w:rFonts w:ascii="Calibri" w:cs="Calibri" w:eastAsia="Calibri" w:hAnsi="Calibri"/>
                <w:sz w:val="20"/>
                <w:szCs w:val="20"/>
              </w:rPr>
            </w:pPr>
            <w:hyperlink r:id="rId39">
              <w:r w:rsidDel="00000000" w:rsidR="00000000" w:rsidRPr="00000000">
                <w:rPr>
                  <w:rFonts w:ascii="Calibri" w:cs="Calibri" w:eastAsia="Calibri" w:hAnsi="Calibri"/>
                  <w:color w:val="0000ff"/>
                  <w:sz w:val="20"/>
                  <w:szCs w:val="20"/>
                  <w:u w:val="single"/>
                  <w:rtl w:val="0"/>
                </w:rPr>
                <w:t xml:space="preserve">http://www.unicef.ro</w:t>
              </w:r>
            </w:hyperlink>
            <w:r w:rsidDel="00000000" w:rsidR="00000000" w:rsidRPr="00000000">
              <w:rPr>
                <w:rFonts w:ascii="Calibri" w:cs="Calibri" w:eastAsia="Calibri" w:hAnsi="Calibri"/>
                <w:sz w:val="20"/>
                <w:szCs w:val="20"/>
                <w:rtl w:val="0"/>
              </w:rPr>
              <w:t xml:space="preserve"> – studii pe diferite problematici educaționale privind copiii și asigurarea dreptului la educație</w:t>
            </w:r>
          </w:p>
          <w:p w:rsidR="00000000" w:rsidDel="00000000" w:rsidP="00000000" w:rsidRDefault="00000000" w:rsidRPr="00000000" w14:paraId="00000114">
            <w:pPr>
              <w:spacing w:after="0" w:line="240" w:lineRule="auto"/>
              <w:rPr>
                <w:rFonts w:ascii="Calibri" w:cs="Calibri" w:eastAsia="Calibri" w:hAnsi="Calibri"/>
                <w:sz w:val="20"/>
                <w:szCs w:val="20"/>
              </w:rPr>
            </w:pPr>
            <w:hyperlink r:id="rId40">
              <w:r w:rsidDel="00000000" w:rsidR="00000000" w:rsidRPr="00000000">
                <w:rPr>
                  <w:rFonts w:ascii="Calibri" w:cs="Calibri" w:eastAsia="Calibri" w:hAnsi="Calibri"/>
                  <w:color w:val="0000ff"/>
                  <w:sz w:val="20"/>
                  <w:szCs w:val="20"/>
                  <w:u w:val="single"/>
                  <w:rtl w:val="0"/>
                </w:rPr>
                <w:t xml:space="preserve">http://www.iiep.unesco.org</w:t>
              </w:r>
            </w:hyperlink>
            <w:r w:rsidDel="00000000" w:rsidR="00000000" w:rsidRPr="00000000">
              <w:rPr>
                <w:rFonts w:ascii="Calibri" w:cs="Calibri" w:eastAsia="Calibri" w:hAnsi="Calibri"/>
                <w:sz w:val="20"/>
                <w:szCs w:val="20"/>
                <w:rtl w:val="0"/>
              </w:rPr>
              <w:t xml:space="preserve"> – International Institute for Educational Planning</w:t>
            </w:r>
          </w:p>
          <w:p w:rsidR="00000000" w:rsidDel="00000000" w:rsidP="00000000" w:rsidRDefault="00000000" w:rsidRPr="00000000" w14:paraId="00000115">
            <w:pPr>
              <w:spacing w:after="0" w:line="240" w:lineRule="auto"/>
              <w:rPr>
                <w:rFonts w:ascii="Calibri" w:cs="Calibri" w:eastAsia="Calibri" w:hAnsi="Calibri"/>
                <w:sz w:val="20"/>
                <w:szCs w:val="20"/>
              </w:rPr>
            </w:pPr>
            <w:hyperlink r:id="rId41">
              <w:r w:rsidDel="00000000" w:rsidR="00000000" w:rsidRPr="00000000">
                <w:rPr>
                  <w:rFonts w:ascii="Calibri" w:cs="Calibri" w:eastAsia="Calibri" w:hAnsi="Calibri"/>
                  <w:color w:val="0000ff"/>
                  <w:sz w:val="20"/>
                  <w:szCs w:val="20"/>
                  <w:u w:val="single"/>
                  <w:rtl w:val="0"/>
                </w:rPr>
                <w:t xml:space="preserve">http://www.eurydice.org</w:t>
              </w:r>
            </w:hyperlink>
            <w:r w:rsidDel="00000000" w:rsidR="00000000" w:rsidRPr="00000000">
              <w:rPr>
                <w:rFonts w:ascii="Calibri" w:cs="Calibri" w:eastAsia="Calibri" w:hAnsi="Calibri"/>
                <w:sz w:val="20"/>
                <w:szCs w:val="20"/>
                <w:rtl w:val="0"/>
              </w:rPr>
              <w:t xml:space="preserve"> – Sisteme de învățământ din diverse țări, studii tematice. Ex : reforme și reglementare în domeniul educației timpurii : </w:t>
            </w:r>
            <w:hyperlink r:id="rId42">
              <w:r w:rsidDel="00000000" w:rsidR="00000000" w:rsidRPr="00000000">
                <w:rPr>
                  <w:rFonts w:ascii="Calibri" w:cs="Calibri" w:eastAsia="Calibri" w:hAnsi="Calibri"/>
                  <w:color w:val="0000ff"/>
                  <w:sz w:val="20"/>
                  <w:szCs w:val="20"/>
                  <w:u w:val="single"/>
                  <w:rtl w:val="0"/>
                </w:rPr>
                <w:t xml:space="preserve">https://eacea.ec.europa.eu/national-policies/eurydice/content/national-reforms-early-childhood-education-and-care-56_ro</w:t>
              </w:r>
            </w:hyperlink>
            <w:r w:rsidDel="00000000" w:rsidR="00000000" w:rsidRPr="00000000">
              <w:rPr>
                <w:rFonts w:ascii="Calibri" w:cs="Calibri" w:eastAsia="Calibri" w:hAnsi="Calibri"/>
                <w:sz w:val="20"/>
                <w:szCs w:val="20"/>
                <w:rtl w:val="0"/>
              </w:rPr>
              <w:t xml:space="preserve"> </w:t>
            </w:r>
          </w:p>
          <w:p w:rsidR="00000000" w:rsidDel="00000000" w:rsidP="00000000" w:rsidRDefault="00000000" w:rsidRPr="00000000" w14:paraId="00000116">
            <w:pPr>
              <w:spacing w:after="0" w:line="240" w:lineRule="auto"/>
              <w:rPr>
                <w:rFonts w:ascii="Calibri" w:cs="Calibri" w:eastAsia="Calibri" w:hAnsi="Calibri"/>
                <w:sz w:val="20"/>
                <w:szCs w:val="20"/>
              </w:rPr>
            </w:pPr>
            <w:hyperlink r:id="rId43">
              <w:r w:rsidDel="00000000" w:rsidR="00000000" w:rsidRPr="00000000">
                <w:rPr>
                  <w:rFonts w:ascii="Calibri" w:cs="Calibri" w:eastAsia="Calibri" w:hAnsi="Calibri"/>
                  <w:color w:val="0000ff"/>
                  <w:sz w:val="20"/>
                  <w:szCs w:val="20"/>
                  <w:u w:val="single"/>
                  <w:rtl w:val="0"/>
                </w:rPr>
                <w:t xml:space="preserve">http://www.cedefop.europa.eu</w:t>
              </w:r>
            </w:hyperlink>
            <w:r w:rsidDel="00000000" w:rsidR="00000000" w:rsidRPr="00000000">
              <w:rPr>
                <w:rFonts w:ascii="Calibri" w:cs="Calibri" w:eastAsia="Calibri" w:hAnsi="Calibri"/>
                <w:sz w:val="20"/>
                <w:szCs w:val="20"/>
                <w:rtl w:val="0"/>
              </w:rPr>
              <w:t xml:space="preserve">  - Politici de educație și formare profesională, studii de monitorizare și anticipative</w:t>
            </w:r>
          </w:p>
          <w:p w:rsidR="00000000" w:rsidDel="00000000" w:rsidP="00000000" w:rsidRDefault="00000000" w:rsidRPr="00000000" w14:paraId="00000117">
            <w:pPr>
              <w:spacing w:after="0" w:line="240" w:lineRule="auto"/>
              <w:jc w:val="both"/>
              <w:rPr>
                <w:rFonts w:ascii="Calibri" w:cs="Calibri" w:eastAsia="Calibri" w:hAnsi="Calibri"/>
                <w:sz w:val="20"/>
                <w:szCs w:val="20"/>
              </w:rPr>
            </w:pPr>
            <w:hyperlink r:id="rId44">
              <w:r w:rsidDel="00000000" w:rsidR="00000000" w:rsidRPr="00000000">
                <w:rPr>
                  <w:rFonts w:ascii="Calibri" w:cs="Calibri" w:eastAsia="Calibri" w:hAnsi="Calibri"/>
                  <w:color w:val="0000ff"/>
                  <w:sz w:val="20"/>
                  <w:szCs w:val="20"/>
                  <w:u w:val="single"/>
                  <w:rtl w:val="0"/>
                </w:rPr>
                <w:t xml:space="preserve">http://www.consilium.europa.eu</w:t>
              </w:r>
            </w:hyperlink>
            <w:r w:rsidDel="00000000" w:rsidR="00000000" w:rsidRPr="00000000">
              <w:rPr>
                <w:rFonts w:ascii="Calibri" w:cs="Calibri" w:eastAsia="Calibri" w:hAnsi="Calibri"/>
                <w:sz w:val="20"/>
                <w:szCs w:val="20"/>
                <w:rtl w:val="0"/>
              </w:rPr>
              <w:t xml:space="preserve"> – Consiliul Europei</w:t>
            </w:r>
          </w:p>
          <w:p w:rsidR="00000000" w:rsidDel="00000000" w:rsidP="00000000" w:rsidRDefault="00000000" w:rsidRPr="00000000" w14:paraId="00000118">
            <w:pPr>
              <w:spacing w:after="0" w:line="240" w:lineRule="auto"/>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19">
            <w:pPr>
              <w:spacing w:after="0" w:line="240" w:lineRule="auto"/>
              <w:jc w:val="both"/>
              <w:rPr>
                <w:rFonts w:ascii="Calibri" w:cs="Calibri" w:eastAsia="Calibri" w:hAnsi="Calibri"/>
                <w:sz w:val="20"/>
                <w:szCs w:val="20"/>
              </w:rPr>
            </w:pPr>
            <w:hyperlink r:id="rId45">
              <w:r w:rsidDel="00000000" w:rsidR="00000000" w:rsidRPr="00000000">
                <w:rPr>
                  <w:rFonts w:ascii="Calibri" w:cs="Calibri" w:eastAsia="Calibri" w:hAnsi="Calibri"/>
                  <w:b w:val="1"/>
                  <w:bCs w:val="1"/>
                  <w:color w:val="0000ff"/>
                  <w:sz w:val="20"/>
                  <w:szCs w:val="20"/>
                  <w:u w:val="single"/>
                  <w:rtl w:val="0"/>
                </w:rPr>
                <w:t xml:space="preserve">Capsule de management și leadership educațional</w:t>
              </w:r>
            </w:hyperlink>
            <w:r w:rsidDel="00000000" w:rsidR="00000000" w:rsidRPr="00000000">
              <w:rPr>
                <w:rFonts w:ascii="Calibri" w:cs="Calibri" w:eastAsia="Calibri" w:hAnsi="Calibri"/>
                <w:sz w:val="20"/>
                <w:szCs w:val="20"/>
                <w:rtl w:val="0"/>
              </w:rPr>
              <w:t xml:space="preserve">, 2024</w:t>
            </w:r>
          </w:p>
          <w:p w:rsidR="00000000" w:rsidDel="00000000" w:rsidP="00000000" w:rsidRDefault="00000000" w:rsidRPr="00000000" w14:paraId="0000011A">
            <w:pPr>
              <w:spacing w:after="0" w:line="240" w:lineRule="auto"/>
              <w:jc w:val="both"/>
              <w:rPr>
                <w:rFonts w:ascii="Times New Roman" w:cs="Times New Roman" w:eastAsia="Times New Roman" w:hAnsi="Times New Roman"/>
              </w:rPr>
            </w:pPr>
            <w:r w:rsidDel="00000000" w:rsidR="00000000" w:rsidRPr="00000000">
              <w:rPr>
                <w:rFonts w:ascii="Calibri" w:cs="Calibri" w:eastAsia="Calibri" w:hAnsi="Calibri"/>
                <w:sz w:val="20"/>
                <w:szCs w:val="20"/>
                <w:rtl w:val="0"/>
              </w:rPr>
              <w:t xml:space="preserve">Notă: titlurile marcate cu litere îngroșate sunt bibliografie minimală</w:t>
            </w:r>
            <w:r w:rsidDel="00000000" w:rsidR="00000000" w:rsidRPr="00000000">
              <w:rPr>
                <w:rtl w:val="0"/>
              </w:rPr>
              <w:t xml:space="preserve"> </w:t>
            </w:r>
            <w:r w:rsidDel="00000000" w:rsidR="00000000" w:rsidRPr="00000000">
              <w:rPr>
                <w:rtl w:val="0"/>
              </w:rPr>
            </w:r>
          </w:p>
        </w:tc>
      </w:tr>
      <w:tr>
        <w:trPr>
          <w:cantSplit w:val="0"/>
          <w:trHeight w:val="227" w:hRule="atLeast"/>
          <w:tblHeader w:val="0"/>
        </w:trPr>
        <w:tc>
          <w:tcPr>
            <w:shd w:fill="c3bd96" w:val="clear"/>
          </w:tcPr>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8.2 Seminar / laborator</w:t>
            </w:r>
          </w:p>
        </w:tc>
        <w:tc>
          <w:tcPr/>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Metode de predare</w:t>
            </w:r>
          </w:p>
        </w:tc>
        <w:tc>
          <w:tcPr/>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Observaţii</w:t>
            </w:r>
          </w:p>
        </w:tc>
      </w:tr>
      <w:tr>
        <w:trPr>
          <w:cantSplit w:val="0"/>
          <w:trHeight w:val="1732" w:hRule="atLeast"/>
          <w:tblHeader w:val="0"/>
        </w:trPr>
        <w:tc>
          <w:tcPr>
            <w:shd w:fill="c3bd96" w:val="clear"/>
          </w:tcPr>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 Politici educaționale ca răspunsuri la problematica lumii contemporane – dezbateri (2h)  </w:t>
            </w:r>
          </w:p>
        </w:tc>
        <w:tc>
          <w:tcPr/>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Dezbatere, harta conceptuală</w:t>
            </w:r>
          </w:p>
        </w:tc>
        <w:tc>
          <w:tcPr/>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Organizarea seminarului. Distribuția contribuțiilor tip referat; postări în cartea deschisă. </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Teme referate.</w:t>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Bibl: Educație 2030, România educată 2030, Spațiul european al educației 2025, OECD (2020) – patru scenarii privind viitorul educației; OECD 2030: </w:t>
            </w:r>
            <w:hyperlink r:id="rId46">
              <w:r w:rsidDel="00000000" w:rsidR="00000000" w:rsidRPr="00000000">
                <w:rPr>
                  <w:rFonts w:ascii="Times New Roman" w:cs="Times New Roman" w:eastAsia="Times New Roman" w:hAnsi="Times New Roman"/>
                  <w:b w:val="0"/>
                  <w:bCs w:val="0"/>
                  <w:i w:val="0"/>
                  <w:iCs w:val="0"/>
                  <w:smallCaps w:val="0"/>
                  <w:strike w:val="0"/>
                  <w:color w:val="0000ff"/>
                  <w:sz w:val="22"/>
                  <w:szCs w:val="22"/>
                  <w:u w:val="single"/>
                  <w:shd w:fill="auto" w:val="clear"/>
                  <w:vertAlign w:val="baseline"/>
                  <w:rtl w:val="0"/>
                </w:rPr>
                <w:t xml:space="preserve">https://www.oecd.org/education/2030-project/curriculum-analysis/</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 Strategia de educație și dezvoltare durabilă, 2030. </w:t>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Alfadala (2020)</w:t>
            </w:r>
            <w:r w:rsidDel="00000000" w:rsidR="00000000" w:rsidRPr="00000000">
              <w:rPr>
                <w:rtl w:val="0"/>
              </w:rPr>
            </w:r>
          </w:p>
        </w:tc>
      </w:tr>
      <w:tr>
        <w:trPr>
          <w:cantSplit w:val="0"/>
          <w:trHeight w:val="1504" w:hRule="atLeast"/>
          <w:tblHeader w:val="0"/>
        </w:trPr>
        <w:tc>
          <w:tcPr>
            <w:shd w:fill="c3bd96" w:val="clear"/>
          </w:tcPr>
          <w:p w:rsidR="00000000" w:rsidDel="00000000" w:rsidP="00000000" w:rsidRDefault="00000000" w:rsidRPr="00000000" w14:paraId="0000012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Modalități de influențare a politicilor educaționale naționale, de la nivel european; (2h)</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Studiu de documente, dezbatere, referate</w:t>
            </w:r>
          </w:p>
        </w:tc>
        <w:tc>
          <w:tcPr/>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Metoda deschisă de coordonare, benchmarking, documente cadru, rapoarte de progres etc.</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Ilustrări pe diferite tipuri de politici și documente legislative, dpdv al structurii și al conținutului lor, a ariei de adresabilitate.</w:t>
            </w:r>
          </w:p>
        </w:tc>
      </w:tr>
      <w:tr>
        <w:trPr>
          <w:cantSplit w:val="0"/>
          <w:trHeight w:val="999" w:hRule="atLeast"/>
          <w:tblHeader w:val="0"/>
        </w:trPr>
        <w:tc>
          <w:tcPr>
            <w:shd w:fill="c3bd96" w:val="clear"/>
          </w:tcPr>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Fundamentarea politicilor educationale: studii, rapoarte evaluative, date etc. (2h)</w:t>
            </w:r>
          </w:p>
        </w:tc>
        <w:tc>
          <w:tcPr/>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Dezbatere, analiză de conținut, referate</w:t>
            </w:r>
          </w:p>
        </w:tc>
        <w:tc>
          <w:tcPr/>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Prezentări de studii și statistici pe diferite problematici. Referate cf eșalonării tematice.</w:t>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Monitor Educatie și Formare 2012-2024 Eurostat, INS, Eurydice, articole JEP etc.</w:t>
            </w:r>
          </w:p>
        </w:tc>
      </w:tr>
      <w:tr>
        <w:trPr>
          <w:cantSplit w:val="0"/>
          <w:trHeight w:val="623" w:hRule="atLeast"/>
          <w:tblHeader w:val="0"/>
        </w:trPr>
        <w:tc>
          <w:tcPr>
            <w:shd w:fill="c3bd96" w:val="clear"/>
          </w:tcPr>
          <w:p w:rsidR="00000000" w:rsidDel="00000000" w:rsidP="00000000" w:rsidRDefault="00000000" w:rsidRPr="00000000" w14:paraId="0000012F">
            <w:pPr>
              <w:spacing w:after="12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 Guvernanță la nivel local. Politici educaționale la nivelul școlii (2h)</w:t>
            </w:r>
          </w:p>
        </w:tc>
        <w:tc>
          <w:tcPr/>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Dezbatere, munca pe grupe, referate</w:t>
            </w:r>
          </w:p>
        </w:tc>
        <w:tc>
          <w:tcPr/>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Combinații de instrumente de politici. (</w:t>
            </w:r>
            <w:r w:rsidDel="00000000" w:rsidR="00000000" w:rsidRPr="00000000">
              <w:rPr>
                <w:rFonts w:ascii="Arimo" w:cs="Arimo" w:eastAsia="Arimo" w:hAnsi="Arimo"/>
                <w:b w:val="0"/>
                <w:bCs w:val="0"/>
                <w:i w:val="0"/>
                <w:iCs w:val="0"/>
                <w:smallCaps w:val="0"/>
                <w:strike w:val="0"/>
                <w:color w:val="000000"/>
                <w:sz w:val="20"/>
                <w:szCs w:val="20"/>
                <w:u w:val="none"/>
                <w:shd w:fill="auto" w:val="clear"/>
                <w:vertAlign w:val="baseline"/>
                <w:rtl w:val="0"/>
              </w:rPr>
              <w:t xml:space="preserve">Tuparevska și alții, 2019). Referate</w:t>
            </w:r>
            <w:r w:rsidDel="00000000" w:rsidR="00000000" w:rsidRPr="00000000">
              <w:rPr>
                <w:rtl w:val="0"/>
              </w:rPr>
            </w:r>
          </w:p>
        </w:tc>
      </w:tr>
      <w:tr>
        <w:trPr>
          <w:cantSplit w:val="0"/>
          <w:trHeight w:val="999" w:hRule="atLeast"/>
          <w:tblHeader w:val="0"/>
        </w:trPr>
        <w:tc>
          <w:tcPr>
            <w:shd w:fill="c3bd96" w:val="clear"/>
          </w:tcPr>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Prezentări de analize critice de politici educaționale pe diferite problematici, la alegere (4h)</w:t>
            </w:r>
            <w:r w:rsidDel="00000000" w:rsidR="00000000" w:rsidRPr="00000000">
              <w:rPr>
                <w:rtl w:val="0"/>
              </w:rPr>
            </w:r>
          </w:p>
        </w:tc>
        <w:tc>
          <w:tcPr/>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Referate, munca pe grupe</w:t>
            </w:r>
          </w:p>
        </w:tc>
        <w:tc>
          <w:tcPr/>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Politici publice privind egalitatea accesului la educatie; Politici curriculare, Politici de formare a personalului didactic, Politici de învatare de-a lungul întregii vieți. Politici de educație incuzivă. Politici de acces la educație etc.</w:t>
            </w:r>
          </w:p>
        </w:tc>
      </w:tr>
      <w:tr>
        <w:trPr>
          <w:cantSplit w:val="0"/>
          <w:trHeight w:val="752" w:hRule="atLeast"/>
          <w:tblHeader w:val="0"/>
        </w:trPr>
        <w:tc>
          <w:tcPr>
            <w:shd w:fill="c3bd96" w:val="clear"/>
          </w:tcPr>
          <w:p w:rsidR="00000000" w:rsidDel="00000000" w:rsidP="00000000" w:rsidRDefault="00000000" w:rsidRPr="00000000" w14:paraId="0000013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Formularea de policy briefs (2h)</w:t>
            </w:r>
          </w:p>
        </w:tc>
        <w:tc>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Exerciții, analiză de conținut</w:t>
            </w:r>
          </w:p>
        </w:tc>
        <w:tc>
          <w:tcPr/>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Fundamentarea unei probl de soluționat, fezabilitatea soluțiilor propuse. Analiză de propuneri de politici publice.</w:t>
            </w:r>
          </w:p>
        </w:tc>
      </w:tr>
    </w:tbl>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Coroborarea conţinuturilor disciplinei cu aşteptările reprezentanţilor comunităţii epistemice, asociaţiilor profesionale şi angajatori reprezentativi din domeniul aferent programului</w:t>
      </w:r>
    </w:p>
    <w:tbl>
      <w:tblPr>
        <w:tblStyle w:val="Table8"/>
        <w:tblW w:w="10207.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7"/>
        <w:tblGridChange w:id="0">
          <w:tblGrid>
            <w:gridCol w:w="10207"/>
          </w:tblGrid>
        </w:tblGridChange>
      </w:tblGrid>
      <w:tr>
        <w:trPr>
          <w:cantSplit w:val="0"/>
          <w:tblHeader w:val="0"/>
        </w:trPr>
        <w:tc>
          <w:tcPr/>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Această disciplină oferă viitorilor manageri educaționali privire de anamblu asupra sistemului educațional, respectiv o înțelegere mai argumentată a mecanismului elaborării și implementării diferitelor politici educaționale, instrumentându-i pentru a le analiza critic, evaluându-le impactul. Creează o înțelegere la nivel meta/macro a problematicilor educaționale, abilitând cursanții de a lucra cu evidențe validate științific, în realizarea de consultanță educațională sau privind dezvoltarea organizațiilor educaționale. Cursul este compatibil cu oferte similare de la universități de prestigiu, din țară și din străinătate. </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Creditele aferente sunt cuantificate pentru înscrierea în Registrul național al experților în management educational, pentru perfecționarea periodică, dar și ca parte a dezvoltării profesionale continue.</w:t>
            </w:r>
          </w:p>
        </w:tc>
      </w:tr>
    </w:tbl>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Utilizarea instrumentelor bazate pe inteligența artificială generativă (IIAgen)</w:t>
      </w:r>
    </w:p>
    <w:tbl>
      <w:tblPr>
        <w:tblStyle w:val="Table9"/>
        <w:tblW w:w="9962.0" w:type="dxa"/>
        <w:jc w:val="left"/>
        <w:tblLayout w:type="fixed"/>
        <w:tblLook w:val="0400"/>
      </w:tblPr>
      <w:tblGrid>
        <w:gridCol w:w="9962"/>
        <w:tblGridChange w:id="0">
          <w:tblGrid>
            <w:gridCol w:w="996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În cadrul acestei discipline, utilizarea instrumentelor de inteligență artificială generativă (IIAgen)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tl w:val="0"/>
              </w:rPr>
              <w:t xml:space="preserve">este permisă</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cu respectarea regulamentului UVT, a normelor de etică și integritate academică, precum și a legislației privind drepturile de autor și protecția datelor – conform </w:t>
            </w: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Regulamentului Privind Utilizarea Inteligenței Artificiale Generative in Procesul Educațional la UVT, Art. 14. </w:t>
            </w: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tl w:val="0"/>
              </w:rPr>
              <w:t xml:space="preserve">Principii obligatorii </w:t>
            </w:r>
            <w:r w:rsidDel="00000000" w:rsidR="00000000" w:rsidRPr="00000000">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tl w:val="0"/>
              </w:rPr>
              <w:t xml:space="preserve">(Art.13)</w:t>
            </w:r>
            <w:r w:rsidDel="00000000" w:rsidR="00000000" w:rsidRPr="00000000">
              <w:rPr>
                <w:rtl w:val="0"/>
              </w:rPr>
            </w:r>
          </w:p>
          <w:p w:rsidR="00000000" w:rsidDel="00000000" w:rsidP="00000000" w:rsidRDefault="00000000" w:rsidRPr="00000000" w14:paraId="0000014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Transparență</w:t>
            </w:r>
            <w:r w:rsidDel="00000000" w:rsidR="00000000" w:rsidRPr="00000000">
              <w:rPr>
                <w:rFonts w:ascii="Times New Roman" w:cs="Times New Roman" w:eastAsia="Times New Roman" w:hAnsi="Times New Roman"/>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orice utilizare IIAgen se declară explicit. </w:t>
            </w:r>
          </w:p>
          <w:p w:rsidR="00000000" w:rsidDel="00000000" w:rsidP="00000000" w:rsidRDefault="00000000" w:rsidRPr="00000000" w14:paraId="000001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Responsabilitate</w:t>
            </w:r>
            <w:r w:rsidDel="00000000" w:rsidR="00000000" w:rsidRPr="00000000">
              <w:rPr>
                <w:rFonts w:ascii="Times New Roman" w:cs="Times New Roman" w:eastAsia="Times New Roman" w:hAnsi="Times New Roman"/>
                <w:b w:val="1"/>
                <w:bCs w:val="1"/>
                <w:i w:val="1"/>
                <w:iCs w:val="1"/>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studentul rămâne autorul și răspunde de acuratețe, coerență și corectitudine (inclusiv verificarea erorilor, „halucinațiilor”).</w:t>
            </w:r>
          </w:p>
          <w:p w:rsidR="00000000" w:rsidDel="00000000" w:rsidP="00000000" w:rsidRDefault="00000000" w:rsidRPr="00000000" w14:paraId="000001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IIAgen ca supliment,</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nu substitut al efortului propriu.</w:t>
            </w:r>
          </w:p>
          <w:p w:rsidR="00000000" w:rsidDel="00000000" w:rsidP="00000000" w:rsidRDefault="00000000" w:rsidRPr="00000000" w14:paraId="0000014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Protecția datelor:</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nu se introduc în instrumente IIAgen date personale/sensibile sau informații personale identificabile.</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Pentru realizarea sarcinilor definite la secțiunea aferentă evaluării este permisă utilizarea  genIA  in mod critic cu verificare pentru generarea de idei, clarificări conceptuale (exemple, reformulări), traduceri, revizuiri.  </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tl w:val="0"/>
              </w:rPr>
              <w:t xml:space="preserve">Nu sunt permise: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rezumarea articolelor fără citirea lor,</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introducerea în IIAgen a datelor identificabile despre persoana intervievată/instituție (nume, funcții, email, date sensibile), scrierea de către IIAgen (paragrafe/subcapitole) ca produs final.  Este recomandată folosirea contului instituțional pentru instrumentele IIAgen  (Google Gemini, Microsoft Copilot). Folosirea altor instrumente (ChatGPT, Perplexity, Claude) necesita setări pentru protecția datelor documentate de student. </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tl w:val="0"/>
              </w:rPr>
              <w:t xml:space="preserve">Exemplu general pentru menționarea utilizării unui IIAgen în realizarea unei lucrări. (Anexa 1, Anexa 3) </w:t>
            </w: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Pentru realizarea acestui [conținut] a fost utilizat instrumentul [nume instrument].</w:t>
            </w: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none"/>
                <w:shd w:fill="auto" w:val="clear"/>
                <w:vertAlign w:val="baseline"/>
                <w:rtl w:val="0"/>
              </w:rPr>
              <w:t xml:space="preserve">Acesta a fost utilizat în etapele de [ex. brainstorming, redactare, revizuire, generare de conținut vizual, traducere, rafinare stilistică], contribuind la elaborarea secțiunilor [se specifică secțiunile relevante</w:t>
            </w: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Nedeclararea utilizării IIAgen, fabricarea surselor sau utilizarea care încalcă condițiile de mai sus poate fi tratată ca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încălcare a integrității academice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și sancționată conform reglementărilor UVT aplicabile. </w:t>
            </w:r>
          </w:p>
        </w:tc>
      </w:tr>
    </w:tbl>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Evaluare</w:t>
      </w:r>
    </w:p>
    <w:tbl>
      <w:tblPr>
        <w:tblStyle w:val="Table10"/>
        <w:tblW w:w="9996.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69"/>
        <w:gridCol w:w="3420"/>
        <w:gridCol w:w="4122"/>
        <w:gridCol w:w="1285"/>
        <w:tblGridChange w:id="0">
          <w:tblGrid>
            <w:gridCol w:w="1169"/>
            <w:gridCol w:w="3420"/>
            <w:gridCol w:w="4122"/>
            <w:gridCol w:w="1285"/>
          </w:tblGrid>
        </w:tblGridChange>
      </w:tblGrid>
      <w:tr>
        <w:trPr>
          <w:cantSplit w:val="0"/>
          <w:tblHeader w:val="0"/>
        </w:trPr>
        <w:tc>
          <w:tcPr/>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Tip activitate</w:t>
            </w:r>
          </w:p>
        </w:tc>
        <w:tc>
          <w:tcPr>
            <w:shd w:fill="c3bd96" w:val="clear"/>
          </w:tcPr>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10.1 Criterii de evaluare</w:t>
            </w:r>
          </w:p>
        </w:tc>
        <w:tc>
          <w:tcPr/>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10.2 Metode de evaluare</w:t>
            </w:r>
          </w:p>
        </w:tc>
        <w:tc>
          <w:tcPr/>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10.3 Pondere din nota finală</w:t>
            </w:r>
          </w:p>
        </w:tc>
      </w:tr>
      <w:tr>
        <w:trPr>
          <w:cantSplit w:val="0"/>
          <w:trHeight w:val="1172" w:hRule="atLeast"/>
          <w:tblHeader w:val="0"/>
        </w:trPr>
        <w:tc>
          <w:tcPr/>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10.4 Examen</w:t>
            </w:r>
          </w:p>
        </w:tc>
        <w:tc>
          <w:tcPr>
            <w:shd w:fill="c3bd96" w:val="clear"/>
          </w:tcPr>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Prezentare argumentată, bazată pe date empirice a problemei; structurare clară a mesajelor;</w:t>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Alegerea adecvată a instrumentelor de politici. </w:t>
            </w:r>
          </w:p>
        </w:tc>
        <w:tc>
          <w:tcPr/>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Evaluarea va consta în:</w:t>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 redactarea unei propuneri de politică educațională (policy brief) bazate pe date (</w:t>
            </w:r>
            <w:hyperlink r:id="rId47">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capsulă</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conform grilei încărcate pe platforma cursului. </w:t>
            </w:r>
          </w:p>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Evaluarea unei propuneri de politica realizata de un coleg (capsula), cf grilei</w:t>
            </w:r>
            <w:r w:rsidDel="00000000" w:rsidR="00000000" w:rsidRPr="00000000">
              <w:rPr>
                <w:rtl w:val="0"/>
              </w:rPr>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70%:</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20%</w:t>
            </w:r>
          </w:p>
        </w:tc>
      </w:tr>
      <w:tr>
        <w:trPr>
          <w:cantSplit w:val="0"/>
          <w:trHeight w:val="1172" w:hRule="atLeast"/>
          <w:tblHeader w:val="0"/>
        </w:trPr>
        <w:tc>
          <w:tcPr/>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10.5 Seminar /curs</w:t>
            </w:r>
          </w:p>
        </w:tc>
        <w:tc>
          <w:tcPr>
            <w:shd w:fill="c3bd96" w:val="clear"/>
          </w:tcPr>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Prezentare structurată, argumentată, informată de date, bibliografie relevantă și actuală, capacitatea de sintetizare și prelucrare a informației.</w:t>
            </w:r>
          </w:p>
        </w:tc>
        <w:tc>
          <w:tcPr/>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Nota la examen va fi ponderată de activitatea practică la seminar, de lucrările realizate pe parcursul semestrului: </w:t>
            </w:r>
          </w:p>
          <w:p w:rsidR="00000000" w:rsidDel="00000000" w:rsidP="00000000" w:rsidRDefault="00000000" w:rsidRPr="00000000" w14:paraId="000001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realizarea a 2 teme de reflecție, la alegere, postate în cartea deschisă</w:t>
            </w:r>
          </w:p>
          <w:p w:rsidR="00000000" w:rsidDel="00000000" w:rsidP="00000000" w:rsidRDefault="00000000" w:rsidRPr="00000000" w14:paraId="0000016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Prezentarea unui domeniu de pol educationale (in echipa) – S.5</w:t>
            </w:r>
          </w:p>
        </w:tc>
        <w:tc>
          <w:tcPr/>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30%:</w:t>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20%</w:t>
            </w:r>
          </w:p>
        </w:tc>
      </w:tr>
      <w:tr>
        <w:trPr>
          <w:cantSplit w:val="0"/>
          <w:tblHeader w:val="0"/>
        </w:trPr>
        <w:tc>
          <w:tcPr>
            <w:gridSpan w:val="4"/>
          </w:tcPr>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10.6 Standard minim de performanţă</w:t>
            </w:r>
          </w:p>
        </w:tc>
      </w:tr>
      <w:tr>
        <w:trPr>
          <w:cantSplit w:val="0"/>
          <w:tblHeader w:val="0"/>
        </w:trPr>
        <w:tc>
          <w:tcPr>
            <w:gridSpan w:val="4"/>
          </w:tcPr>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Elaborarea lucrării finale, respectând solicitările minimale formulate. Capacitatea de a prezenta argumentat ciclul de politici publice, de a enumera cel puțin 3 instrumente de politică educațională. Fundamentarea unei probleme educaționale pe evidențe convingătoare este obligatorie. </w:t>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Respectarea regulamentului studenților privind prezența minimă de 50% la activitățile de curs,70% la activitățile de seminar. Absențele pot fi recuperate prin elaborarea unui material de 500 de cuvinte cu conspect pe marginea suportului de curs/ bibliografiei indicate, postată în cartea deschisă. Lucrarea se va încărca în cartea deschisa creată pe Classroom (curs), „mentionand recuperare curs data”. In cazul in care nu se va recupera, la trei absențe se scade un punct din nota. Prezenta minimă dă dreptul de a intra in examen, însă cursurile/seminarele la care s-a absentat se calculează din cele 7 cursuri/seminare. </w:t>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178">
      <w:pPr>
        <w:jc w:val="center"/>
        <w:rPr>
          <w:rFonts w:ascii="Times New Roman" w:cs="Times New Roman" w:eastAsia="Times New Roman" w:hAnsi="Times New Roman"/>
          <w:sz w:val="20"/>
          <w:szCs w:val="20"/>
        </w:rPr>
      </w:pPr>
      <w:r w:rsidDel="00000000" w:rsidR="00000000" w:rsidRPr="00000000">
        <w:rPr>
          <w:rtl w:val="0"/>
        </w:rPr>
      </w:r>
    </w:p>
    <w:tbl>
      <w:tblPr>
        <w:tblStyle w:val="Table11"/>
        <w:tblW w:w="997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315"/>
        <w:gridCol w:w="1665"/>
        <w:gridCol w:w="1662"/>
        <w:gridCol w:w="3330"/>
        <w:tblGridChange w:id="0">
          <w:tblGrid>
            <w:gridCol w:w="3315"/>
            <w:gridCol w:w="1665"/>
            <w:gridCol w:w="1662"/>
            <w:gridCol w:w="3330"/>
          </w:tblGrid>
        </w:tblGridChange>
      </w:tblGrid>
      <w:tr>
        <w:trPr>
          <w:cantSplit w:val="0"/>
          <w:tblHeader w:val="0"/>
        </w:trPr>
        <w:tc>
          <w:tcPr/>
          <w:p w:rsidR="00000000" w:rsidDel="00000000" w:rsidP="00000000" w:rsidRDefault="00000000" w:rsidRPr="00000000" w14:paraId="00000179">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Data completării</w:t>
            </w:r>
          </w:p>
        </w:tc>
        <w:tc>
          <w:tcPr>
            <w:gridSpan w:val="2"/>
          </w:tcPr>
          <w:p w:rsidR="00000000" w:rsidDel="00000000" w:rsidP="00000000" w:rsidRDefault="00000000" w:rsidRPr="00000000" w14:paraId="0000017A">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Semnătura titularului de curs</w:t>
            </w:r>
          </w:p>
        </w:tc>
        <w:tc>
          <w:tcPr/>
          <w:p w:rsidR="00000000" w:rsidDel="00000000" w:rsidP="00000000" w:rsidRDefault="00000000" w:rsidRPr="00000000" w14:paraId="0000017C">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Semnătura titularului de seminar</w:t>
            </w:r>
          </w:p>
        </w:tc>
      </w:tr>
      <w:tr>
        <w:trPr>
          <w:cantSplit w:val="0"/>
          <w:tblHeader w:val="0"/>
        </w:trPr>
        <w:tc>
          <w:tcPr/>
          <w:p w:rsidR="00000000" w:rsidDel="00000000" w:rsidP="00000000" w:rsidRDefault="00000000" w:rsidRPr="00000000" w14:paraId="0000017D">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3.02.2026</w:t>
            </w:r>
          </w:p>
          <w:p w:rsidR="00000000" w:rsidDel="00000000" w:rsidP="00000000" w:rsidRDefault="00000000" w:rsidRPr="00000000" w14:paraId="0000017E">
            <w:pPr>
              <w:spacing w:line="240" w:lineRule="auto"/>
              <w:jc w:val="center"/>
              <w:rPr>
                <w:rFonts w:ascii="Times New Roman" w:cs="Times New Roman" w:eastAsia="Times New Roman" w:hAnsi="Times New Roman"/>
                <w:sz w:val="20"/>
                <w:szCs w:val="20"/>
              </w:rPr>
            </w:pPr>
            <w:r w:rsidDel="00000000" w:rsidR="00000000" w:rsidRPr="00000000">
              <w:rPr>
                <w:rtl w:val="0"/>
              </w:rPr>
            </w:r>
          </w:p>
        </w:tc>
        <w:tc>
          <w:tcPr>
            <w:gridSpan w:val="2"/>
          </w:tcPr>
          <w:p w:rsidR="00000000" w:rsidDel="00000000" w:rsidP="00000000" w:rsidRDefault="00000000" w:rsidRPr="00000000" w14:paraId="0000017F">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Prof.univ.dr. Simona Sava</w:t>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spacing w:line="240" w:lineRule="auto"/>
              <w:jc w:val="center"/>
              <w:rPr>
                <w:rFonts w:ascii="Times New Roman" w:cs="Times New Roman" w:eastAsia="Times New Roman" w:hAnsi="Times New Roman"/>
                <w:sz w:val="20"/>
                <w:szCs w:val="20"/>
              </w:rPr>
            </w:pPr>
            <w:r w:rsidDel="00000000" w:rsidR="00000000" w:rsidRPr="00000000">
              <w:rPr>
                <w:rtl w:val="0"/>
              </w:rPr>
            </w:r>
          </w:p>
        </w:tc>
        <w:tc>
          <w:tcPr/>
          <w:p w:rsidR="00000000" w:rsidDel="00000000" w:rsidP="00000000" w:rsidRDefault="00000000" w:rsidRPr="00000000" w14:paraId="00000183">
            <w:pPr>
              <w:rPr/>
            </w:pPr>
            <w:r w:rsidDel="00000000" w:rsidR="00000000" w:rsidRPr="00000000">
              <w:rPr>
                <w:rFonts w:ascii="Times New Roman" w:cs="Times New Roman" w:eastAsia="Times New Roman" w:hAnsi="Times New Roman"/>
                <w:sz w:val="20"/>
                <w:szCs w:val="20"/>
                <w:rtl w:val="0"/>
              </w:rPr>
              <w:t xml:space="preserve">Prof.univ.dr. Simona Sava</w:t>
            </w: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spacing w:line="240" w:lineRule="auto"/>
              <w:jc w:val="center"/>
              <w:rPr>
                <w:rFonts w:ascii="Times New Roman" w:cs="Times New Roman" w:eastAsia="Times New Roman" w:hAnsi="Times New Roman"/>
                <w:sz w:val="20"/>
                <w:szCs w:val="20"/>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186">
            <w:pPr>
              <w:spacing w:after="0" w:before="24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Data avizării în catedră/departament</w:t>
            </w:r>
          </w:p>
        </w:tc>
        <w:tc>
          <w:tcPr>
            <w:gridSpan w:val="2"/>
          </w:tcPr>
          <w:p w:rsidR="00000000" w:rsidDel="00000000" w:rsidP="00000000" w:rsidRDefault="00000000" w:rsidRPr="00000000" w14:paraId="00000188">
            <w:pPr>
              <w:spacing w:after="0" w:before="24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Semnătura şefului catedrei/departamentului</w:t>
            </w:r>
          </w:p>
        </w:tc>
      </w:tr>
    </w:tbl>
    <w:p w:rsidR="00000000" w:rsidDel="00000000" w:rsidP="00000000" w:rsidRDefault="00000000" w:rsidRPr="00000000" w14:paraId="0000018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ab/>
        <w:t xml:space="preserve">6.02.2026</w:t>
        <w:tab/>
        <w:tab/>
        <w:tab/>
        <w:tab/>
        <w:tab/>
        <w:tab/>
        <w:t xml:space="preserve">Conf.univ.dr. Claudia Borca</w:t>
      </w:r>
    </w:p>
    <w:sectPr>
      <w:pgSz w:h="15840" w:w="12240" w:orient="portrait"/>
      <w:pgMar w:bottom="851" w:top="851" w:left="1134" w:right="1134"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Arial"/>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0"/>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NoSpacing">
    <w:name w:val="No Spacing"/>
    <w:uiPriority w:val="1"/>
    <w:qFormat w:val="1"/>
    <w:rsid w:val="00683726"/>
    <w:rPr>
      <w:sz w:val="22"/>
      <w:szCs w:val="22"/>
    </w:rPr>
  </w:style>
  <w:style w:type="paragraph" w:styleId="ListParagraph">
    <w:name w:val="List Paragraph"/>
    <w:basedOn w:val="Normal"/>
    <w:uiPriority w:val="34"/>
    <w:qFormat w:val="1"/>
    <w:rsid w:val="00D463EE"/>
    <w:pPr>
      <w:ind w:left="720"/>
      <w:contextualSpacing w:val="1"/>
    </w:pPr>
  </w:style>
  <w:style w:type="table" w:styleId="TableGrid">
    <w:name w:val="Table Grid"/>
    <w:basedOn w:val="TableNormal"/>
    <w:rsid w:val="00D463EE"/>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table" w:styleId="LightShading1" w:customStyle="1">
    <w:name w:val="Light Shading1"/>
    <w:basedOn w:val="TableNormal"/>
    <w:uiPriority w:val="60"/>
    <w:rsid w:val="00D463EE"/>
    <w:rPr>
      <w:color w:val="000000" w:themeColor="text1" w:themeShade="0000BF"/>
    </w:rPr>
    <w:tblPr>
      <w:tblStyleRowBandSize w:val="1"/>
      <w:tblStyleColBandSize w:val="1"/>
      <w:tblBorders>
        <w:top w:color="000000" w:space="0" w:sz="8" w:themeColor="text1" w:val="single"/>
        <w:bottom w:color="000000" w:space="0" w:sz="8" w:themeColor="text1" w:val="single"/>
      </w:tblBorders>
    </w:tblPr>
    <w:tblStylePr w:type="fir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c0c0c0" w:themeFill="text1" w:themeFillTint="00003F" w:val="clear"/>
      </w:tcPr>
    </w:tblStylePr>
    <w:tblStylePr w:type="band1Horz">
      <w:tblPr/>
      <w:tcPr>
        <w:tcBorders>
          <w:left w:space="0" w:sz="0" w:val="nil"/>
          <w:right w:space="0" w:sz="0" w:val="nil"/>
          <w:insideH w:space="0" w:sz="0" w:val="nil"/>
          <w:insideV w:space="0" w:sz="0" w:val="nil"/>
        </w:tcBorders>
        <w:shd w:color="auto" w:fill="c0c0c0" w:themeFill="text1" w:themeFillTint="00003F" w:val="clear"/>
      </w:tcPr>
    </w:tblStylePr>
  </w:style>
  <w:style w:type="paragraph" w:styleId="BalloonText">
    <w:name w:val="Balloon Text"/>
    <w:basedOn w:val="Normal"/>
    <w:link w:val="BalloonTextChar"/>
    <w:uiPriority w:val="99"/>
    <w:semiHidden w:val="1"/>
    <w:unhideWhenUsed w:val="1"/>
    <w:rsid w:val="00882467"/>
    <w:pPr>
      <w:spacing w:after="0" w:line="240" w:lineRule="auto"/>
    </w:pPr>
    <w:rPr>
      <w:rFonts w:ascii="Tahoma" w:cs="Tahoma" w:hAnsi="Tahoma"/>
      <w:sz w:val="16"/>
      <w:szCs w:val="16"/>
    </w:rPr>
  </w:style>
  <w:style w:type="character" w:styleId="BalloonTextChar" w:customStyle="1">
    <w:name w:val="Balloon Text Char"/>
    <w:basedOn w:val="DefaultParagraphFont"/>
    <w:link w:val="BalloonText"/>
    <w:uiPriority w:val="99"/>
    <w:semiHidden w:val="1"/>
    <w:rsid w:val="00882467"/>
    <w:rPr>
      <w:rFonts w:ascii="Tahoma" w:cs="Tahoma" w:hAnsi="Tahoma"/>
      <w:sz w:val="16"/>
      <w:szCs w:val="16"/>
    </w:rPr>
  </w:style>
  <w:style w:type="paragraph" w:styleId="Default" w:customStyle="1">
    <w:name w:val="Default"/>
    <w:rsid w:val="009D4A03"/>
    <w:pPr>
      <w:autoSpaceDE w:val="0"/>
      <w:autoSpaceDN w:val="0"/>
      <w:adjustRightInd w:val="0"/>
    </w:pPr>
    <w:rPr>
      <w:rFonts w:ascii="Arial" w:cs="Arial" w:hAnsi="Arial"/>
      <w:color w:val="000000"/>
      <w:sz w:val="24"/>
      <w:szCs w:val="24"/>
    </w:rPr>
  </w:style>
  <w:style w:type="paragraph" w:styleId="BodyText">
    <w:name w:val="Body Text"/>
    <w:basedOn w:val="Normal"/>
    <w:link w:val="BodyTextChar"/>
    <w:rsid w:val="00CA5A51"/>
    <w:pPr>
      <w:spacing w:after="0" w:line="240" w:lineRule="auto"/>
    </w:pPr>
    <w:rPr>
      <w:rFonts w:ascii="Times New Roman" w:eastAsia="Times New Roman" w:hAnsi="Times New Roman"/>
      <w:sz w:val="24"/>
      <w:szCs w:val="20"/>
    </w:rPr>
  </w:style>
  <w:style w:type="character" w:styleId="BodyTextChar" w:customStyle="1">
    <w:name w:val="Body Text Char"/>
    <w:basedOn w:val="DefaultParagraphFont"/>
    <w:link w:val="BodyText"/>
    <w:rsid w:val="00CA5A51"/>
    <w:rPr>
      <w:rFonts w:ascii="Times New Roman" w:eastAsia="Times New Roman" w:hAnsi="Times New Roman"/>
      <w:sz w:val="24"/>
    </w:rPr>
  </w:style>
  <w:style w:type="paragraph" w:styleId="Caracter" w:customStyle="1">
    <w:name w:val="Caracter"/>
    <w:basedOn w:val="Normal"/>
    <w:rsid w:val="00CA5A51"/>
    <w:pPr>
      <w:spacing w:after="160" w:line="240" w:lineRule="exact"/>
    </w:pPr>
    <w:rPr>
      <w:rFonts w:ascii="Tahoma" w:cs="Tahoma" w:eastAsia="Times New Roman" w:hAnsi="Tahoma"/>
      <w:sz w:val="20"/>
      <w:szCs w:val="20"/>
    </w:rPr>
  </w:style>
  <w:style w:type="character" w:styleId="Hyperlink">
    <w:name w:val="Hyperlink"/>
    <w:basedOn w:val="DefaultParagraphFont"/>
    <w:uiPriority w:val="99"/>
    <w:rsid w:val="00E0080D"/>
    <w:rPr>
      <w:color w:val="0000ff"/>
      <w:u w:val="single"/>
    </w:rPr>
  </w:style>
  <w:style w:type="paragraph" w:styleId="Header">
    <w:name w:val="header"/>
    <w:basedOn w:val="Normal"/>
    <w:link w:val="HeaderChar"/>
    <w:uiPriority w:val="99"/>
    <w:unhideWhenUsed w:val="1"/>
    <w:rsid w:val="00375DA7"/>
    <w:pPr>
      <w:tabs>
        <w:tab w:val="center" w:pos="4819"/>
        <w:tab w:val="right" w:pos="9638"/>
      </w:tabs>
      <w:spacing w:after="120" w:line="240" w:lineRule="auto"/>
      <w:jc w:val="both"/>
    </w:pPr>
    <w:rPr>
      <w:rFonts w:ascii="Times New Roman" w:hAnsi="Times New Roman"/>
      <w:lang w:val="it-IT"/>
    </w:rPr>
  </w:style>
  <w:style w:type="character" w:styleId="HeaderChar" w:customStyle="1">
    <w:name w:val="Header Char"/>
    <w:basedOn w:val="DefaultParagraphFont"/>
    <w:link w:val="Header"/>
    <w:uiPriority w:val="99"/>
    <w:rsid w:val="00375DA7"/>
    <w:rPr>
      <w:rFonts w:ascii="Times New Roman" w:hAnsi="Times New Roman"/>
      <w:sz w:val="22"/>
      <w:szCs w:val="22"/>
      <w:lang w:val="it-IT"/>
    </w:rPr>
  </w:style>
  <w:style w:type="character" w:styleId="nlmarticle-title" w:customStyle="1">
    <w:name w:val="nlm_article-title"/>
    <w:basedOn w:val="DefaultParagraphFont"/>
    <w:rsid w:val="00375DA7"/>
  </w:style>
  <w:style w:type="character" w:styleId="UnresolvedMention">
    <w:name w:val="Unresolved Mention"/>
    <w:basedOn w:val="DefaultParagraphFont"/>
    <w:uiPriority w:val="99"/>
    <w:semiHidden w:val="1"/>
    <w:unhideWhenUsed w:val="1"/>
    <w:rsid w:val="00EA50D8"/>
    <w:rPr>
      <w:color w:val="605e5c"/>
      <w:shd w:color="auto" w:fill="e1dfdd" w:val="clear"/>
    </w:rPr>
  </w:style>
  <w:style w:type="character" w:styleId="FollowedHyperlink">
    <w:name w:val="FollowedHyperlink"/>
    <w:basedOn w:val="DefaultParagraphFont"/>
    <w:uiPriority w:val="99"/>
    <w:semiHidden w:val="1"/>
    <w:unhideWhenUsed w:val="1"/>
    <w:rsid w:val="005E372C"/>
    <w:rPr>
      <w:color w:val="800080" w:themeColor="followedHyperlink"/>
      <w:u w:val="single"/>
    </w:rPr>
  </w:style>
  <w:style w:type="character" w:styleId="A4" w:customStyle="1">
    <w:name w:val="A4"/>
    <w:uiPriority w:val="99"/>
    <w:rsid w:val="0022542E"/>
    <w:rPr>
      <w:rFonts w:cs="SQTHO M+ Gotham"/>
      <w:color w:val="000000"/>
      <w:sz w:val="13"/>
      <w:szCs w:val="13"/>
    </w:rPr>
  </w:style>
  <w:style w:type="character" w:styleId="A01" w:customStyle="1">
    <w:name w:val="A0_1"/>
    <w:uiPriority w:val="99"/>
    <w:rsid w:val="00FE3A9F"/>
    <w:rPr>
      <w:rFonts w:cs="Akzidenz-Grotesk Pro Med Cnd"/>
      <w:color w:val="000000"/>
      <w:sz w:val="60"/>
      <w:szCs w:val="60"/>
    </w:rPr>
  </w:style>
  <w:style w:type="character" w:styleId="A3" w:customStyle="1">
    <w:name w:val="A3"/>
    <w:uiPriority w:val="99"/>
    <w:rsid w:val="00141E3C"/>
    <w:rPr>
      <w:rFonts w:cs="Futura Book"/>
      <w:color w:val="000000"/>
      <w:sz w:val="16"/>
      <w:szCs w:val="16"/>
    </w:rPr>
  </w:style>
  <w:style w:type="paragraph" w:styleId="Pa0" w:customStyle="1">
    <w:name w:val="Pa0"/>
    <w:basedOn w:val="Default"/>
    <w:next w:val="Default"/>
    <w:uiPriority w:val="99"/>
    <w:rsid w:val="00B51499"/>
    <w:pPr>
      <w:spacing w:line="241" w:lineRule="atLeast"/>
    </w:pPr>
    <w:rPr>
      <w:rFonts w:ascii="Stone Sans ITC Std Medium" w:cs="Times New Roman" w:hAnsi="Stone Sans ITC Std Medium"/>
      <w:color w:val="auto"/>
    </w:rPr>
  </w:style>
  <w:style w:type="character" w:styleId="A2" w:customStyle="1">
    <w:name w:val="A2"/>
    <w:uiPriority w:val="99"/>
    <w:rsid w:val="00B51499"/>
    <w:rPr>
      <w:rFonts w:cs="Stone Sans ITC Std Medium"/>
      <w:b w:val="1"/>
      <w:bCs w:val="1"/>
      <w:color w:val="000000"/>
      <w:sz w:val="36"/>
      <w:szCs w:val="36"/>
    </w:rPr>
  </w:style>
  <w:style w:type="character" w:styleId="A0" w:customStyle="1">
    <w:name w:val="A0"/>
    <w:uiPriority w:val="99"/>
    <w:rsid w:val="00B51499"/>
    <w:rPr>
      <w:rFonts w:cs="Stone Sans ITC Std Medium"/>
      <w:b w:val="1"/>
      <w:bCs w:val="1"/>
      <w:color w:val="000000"/>
      <w:sz w:val="92"/>
      <w:szCs w:val="92"/>
    </w:rPr>
  </w:style>
  <w:style w:type="character" w:styleId="nlmyear" w:customStyle="1">
    <w:name w:val="nlm_year"/>
    <w:basedOn w:val="DefaultParagraphFont"/>
    <w:rsid w:val="00D01091"/>
  </w:style>
  <w:style w:type="character" w:styleId="nlmpublisher-loc" w:customStyle="1">
    <w:name w:val="nlm_publisher-loc"/>
    <w:basedOn w:val="DefaultParagraphFont"/>
    <w:rsid w:val="00D01091"/>
  </w:style>
  <w:style w:type="character" w:styleId="nlmpublisher-name" w:customStyle="1">
    <w:name w:val="nlm_publisher-name"/>
    <w:basedOn w:val="DefaultParagraphFont"/>
    <w:rsid w:val="00D01091"/>
  </w:style>
  <w:style w:type="character" w:styleId="hlfld-contribauthor" w:customStyle="1">
    <w:name w:val="hlfld-contribauthor"/>
    <w:basedOn w:val="DefaultParagraphFont"/>
    <w:rsid w:val="002944ED"/>
  </w:style>
  <w:style w:type="character" w:styleId="nlmgiven-names" w:customStyle="1">
    <w:name w:val="nlm_given-names"/>
    <w:basedOn w:val="DefaultParagraphFont"/>
    <w:rsid w:val="002944ED"/>
  </w:style>
  <w:style w:type="character" w:styleId="ng-star-inserted" w:customStyle="1">
    <w:name w:val="ng-star-inserted"/>
    <w:basedOn w:val="DefaultParagraphFont"/>
    <w:rsid w:val="005F58AF"/>
  </w:style>
  <w:style w:type="character" w:styleId="authorname" w:customStyle="1">
    <w:name w:val="authorname"/>
    <w:basedOn w:val="DefaultParagraphFont"/>
    <w:rsid w:val="00CA20CD"/>
  </w:style>
  <w:style w:type="character" w:styleId="separator" w:customStyle="1">
    <w:name w:val="separator"/>
    <w:basedOn w:val="DefaultParagraphFont"/>
    <w:rsid w:val="00CA20CD"/>
  </w:style>
  <w:style w:type="character" w:styleId="Date1" w:customStyle="1">
    <w:name w:val="Date1"/>
    <w:basedOn w:val="DefaultParagraphFont"/>
    <w:rsid w:val="00CA20CD"/>
  </w:style>
  <w:style w:type="character" w:styleId="arttitle" w:customStyle="1">
    <w:name w:val="art_title"/>
    <w:basedOn w:val="DefaultParagraphFont"/>
    <w:rsid w:val="00CA20CD"/>
  </w:style>
  <w:style w:type="character" w:styleId="serialtitle" w:customStyle="1">
    <w:name w:val="serial_title"/>
    <w:basedOn w:val="DefaultParagraphFont"/>
    <w:rsid w:val="00CA20CD"/>
  </w:style>
  <w:style w:type="character" w:styleId="volumeissue" w:customStyle="1">
    <w:name w:val="volume_issue"/>
    <w:basedOn w:val="DefaultParagraphFont"/>
    <w:rsid w:val="00CA20CD"/>
  </w:style>
  <w:style w:type="character" w:styleId="pagerange" w:customStyle="1">
    <w:name w:val="page_range"/>
    <w:basedOn w:val="DefaultParagraphFont"/>
    <w:rsid w:val="00CA20CD"/>
  </w:style>
  <w:style w:type="character" w:styleId="doilink" w:customStyle="1">
    <w:name w:val="doi_link"/>
    <w:basedOn w:val="DefaultParagraphFont"/>
    <w:rsid w:val="00CA20CD"/>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www.iiep.unesco.org" TargetMode="External"/><Relationship Id="rId20" Type="http://schemas.openxmlformats.org/officeDocument/2006/relationships/hyperlink" Target="http://anfpisdr.gov.ro/w/wp-content/uploads/2020/01/Strategie-DUAL_ANFPISDR_07.01.2020-2.pdf" TargetMode="External"/><Relationship Id="rId42" Type="http://schemas.openxmlformats.org/officeDocument/2006/relationships/hyperlink" Target="https://eacea.ec.europa.eu/national-policies/eurydice/content/national-reforms-early-childhood-education-and-care-56_ro" TargetMode="External"/><Relationship Id="rId41" Type="http://schemas.openxmlformats.org/officeDocument/2006/relationships/hyperlink" Target="http://www.eurydice.org" TargetMode="External"/><Relationship Id="rId22" Type="http://schemas.openxmlformats.org/officeDocument/2006/relationships/hyperlink" Target="http://dx.doi.org/10.1787/eag-2016-2-en" TargetMode="External"/><Relationship Id="rId44" Type="http://schemas.openxmlformats.org/officeDocument/2006/relationships/hyperlink" Target="http://www.consilium.europa.eu" TargetMode="External"/><Relationship Id="rId21" Type="http://schemas.openxmlformats.org/officeDocument/2006/relationships/hyperlink" Target="https://www.mmuncii.ro/j33/images/Documente/MMSS/Transparenta_decizionala/20230907_hg-snfa-23_27-anexa1-strategie.pdf" TargetMode="External"/><Relationship Id="rId43" Type="http://schemas.openxmlformats.org/officeDocument/2006/relationships/hyperlink" Target="http://www.cedefop.europa.eu" TargetMode="External"/><Relationship Id="rId24" Type="http://schemas.openxmlformats.org/officeDocument/2006/relationships/hyperlink" Target="https://doi.org/10.1787/c3f402ba-en" TargetMode="External"/><Relationship Id="rId46" Type="http://schemas.openxmlformats.org/officeDocument/2006/relationships/hyperlink" Target="https://www.oecd.org/education/2030-project/curriculum-analysis/" TargetMode="External"/><Relationship Id="rId23" Type="http://schemas.openxmlformats.org/officeDocument/2006/relationships/hyperlink" Target="https://www.oecd.org/content/dam/oecd/ro/publications/reports/2024/03/reforming-school-education-in-romania_82abd45a/943c9230-ro.pdf" TargetMode="External"/><Relationship Id="rId45" Type="http://schemas.openxmlformats.org/officeDocument/2006/relationships/hyperlink" Target="https://fsp.uvt.ro/extracurricular/"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edituratrei.ro/images/imagini_newsletter/Educatia_timpurie_(ebook).pdf" TargetMode="External"/><Relationship Id="rId26" Type="http://schemas.openxmlformats.org/officeDocument/2006/relationships/hyperlink" Target="https://www.presidency.ro/ro/angajamente/romania-educata" TargetMode="External"/><Relationship Id="rId25" Type="http://schemas.openxmlformats.org/officeDocument/2006/relationships/hyperlink" Target="https://doi.org/10.1177/2096531120924670" TargetMode="External"/><Relationship Id="rId47" Type="http://schemas.openxmlformats.org/officeDocument/2006/relationships/hyperlink" Target="https://fsp.uvt.ro/extracurricular/" TargetMode="External"/><Relationship Id="rId28" Type="http://schemas.openxmlformats.org/officeDocument/2006/relationships/hyperlink" Target="https://doi.org/10.26755/RevPed/2020.2/105" TargetMode="External"/><Relationship Id="rId27" Type="http://schemas.openxmlformats.org/officeDocument/2006/relationships/hyperlink" Target="http://www.romaniaeducata.eu/rezultatele-proiectului/#ink-tabs-147510000-6"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oi.org/10.26755/RevPed/2023.1/105" TargetMode="External"/><Relationship Id="rId7" Type="http://schemas.openxmlformats.org/officeDocument/2006/relationships/hyperlink" Target="https://pjp-eu.coe.int/documents/42128013/47261953/YP-Evaluation-Review-WEB.pdf/3c20fa95-54b8-bcdd-c57e-b12df07840f7?fbclid=IwAR33DQ20brehNYxFGK-1izZAXTWcj77oADRBHiIVahqx9pCpPhgqm4CTg6Y" TargetMode="External"/><Relationship Id="rId8" Type="http://schemas.openxmlformats.org/officeDocument/2006/relationships/hyperlink" Target="http://library.fes.de/pdf-files/bueros/bukarest/19247.pdf" TargetMode="External"/><Relationship Id="rId31" Type="http://schemas.openxmlformats.org/officeDocument/2006/relationships/hyperlink" Target="https://doi.org/10.1080/1350293X.2023.2184843" TargetMode="External"/><Relationship Id="rId30" Type="http://schemas.openxmlformats.org/officeDocument/2006/relationships/hyperlink" Target="https://www.researchgate.net/publication/369357763_Mind_the_creche_Controversial_perspectives_on_the_educational_quality_of_Romanian_creches" TargetMode="External"/><Relationship Id="rId11" Type="http://schemas.openxmlformats.org/officeDocument/2006/relationships/hyperlink" Target="https://eacea.ec.europa.eu/national-policies/eurydice/sites/eurydice/files/equity_2020_0.pdf" TargetMode="External"/><Relationship Id="rId33" Type="http://schemas.openxmlformats.org/officeDocument/2006/relationships/hyperlink" Target="http://www.uis.unesco.org/Education/Documents/incheon-framework-for-action-en.pdf" TargetMode="External"/><Relationship Id="rId10" Type="http://schemas.openxmlformats.org/officeDocument/2006/relationships/hyperlink" Target="http://oasis.col.org/bitstream/handle/11599/3698/2020_Ally_Wark_SustainDev_in_4IR.pdf?sequence=1&amp;isAllowed=y" TargetMode="External"/><Relationship Id="rId32" Type="http://schemas.openxmlformats.org/officeDocument/2006/relationships/hyperlink" Target="https://www.researchgate.net/publication/256088715_SCALING-UP_EARLY_CHILD_DEVELOPMENT_IN_ROMANIA#fullTextFileContent" TargetMode="External"/><Relationship Id="rId13" Type="http://schemas.openxmlformats.org/officeDocument/2006/relationships/hyperlink" Target="https://mmuncii.ro/j33/images/Documente/MMPS/Rapoarte_si_studii_MMPS/DPOCM/Agenda_pentru_competente_ROMANIA_2020-2025R5etapaIII.pdf" TargetMode="External"/><Relationship Id="rId35" Type="http://schemas.openxmlformats.org/officeDocument/2006/relationships/hyperlink" Target="https://openknowledge.worldbank.org/entities/publication/211c4d69-9013-4942-831f-4dbae5ede977" TargetMode="External"/><Relationship Id="rId12" Type="http://schemas.openxmlformats.org/officeDocument/2006/relationships/hyperlink" Target="http://www.ise.ro/wp-content/uploads/2015/03/PUBLICATIE-Sistemul-de-invatamant-2014.pdf" TargetMode="External"/><Relationship Id="rId34" Type="http://schemas.openxmlformats.org/officeDocument/2006/relationships/hyperlink" Target="http://hdl.handle.net/10986/40579" TargetMode="External"/><Relationship Id="rId15" Type="http://schemas.openxmlformats.org/officeDocument/2006/relationships/hyperlink" Target="https://doi.org/10.26755/RevPed/2023.2/95" TargetMode="External"/><Relationship Id="rId37" Type="http://schemas.openxmlformats.org/officeDocument/2006/relationships/hyperlink" Target="http://www.ise.ro" TargetMode="External"/><Relationship Id="rId14" Type="http://schemas.openxmlformats.org/officeDocument/2006/relationships/hyperlink" Target="https://unibuc.ro/wp-content/uploads/2021/02/Micro-creditele-in-sistemul-universitar-din-Romania-final-cu-coperta.pdf?fbclid=IwAR2_LkT44B51AKW53vSzAROLBDei2_g_jbj-hO2HDmBgY9UJdg6YYbRa1V0" TargetMode="External"/><Relationship Id="rId36" Type="http://schemas.openxmlformats.org/officeDocument/2006/relationships/hyperlink" Target="https://www.edu.ro/legisla%C8%9Bie-ordine-de-ministru" TargetMode="External"/><Relationship Id="rId17" Type="http://schemas.openxmlformats.org/officeDocument/2006/relationships/hyperlink" Target="https://edu.ro/sites/default/files/_fi%C8%99iere/Minister/2023/Legi_educatie_Romania_educata/legi_monitor/Legea_invatamantului_preuniversitar_nr_198.pdf" TargetMode="External"/><Relationship Id="rId39" Type="http://schemas.openxmlformats.org/officeDocument/2006/relationships/hyperlink" Target="http://www.unicef.ro" TargetMode="External"/><Relationship Id="rId16" Type="http://schemas.openxmlformats.org/officeDocument/2006/relationships/hyperlink" Target="about:blank" TargetMode="External"/><Relationship Id="rId38" Type="http://schemas.openxmlformats.org/officeDocument/2006/relationships/hyperlink" Target="http://eacea.ec.europa.eu/" TargetMode="External"/><Relationship Id="rId19" Type="http://schemas.openxmlformats.org/officeDocument/2006/relationships/hyperlink" Target="http://www.edu.ro" TargetMode="External"/><Relationship Id="rId18" Type="http://schemas.openxmlformats.org/officeDocument/2006/relationships/hyperlink" Target="https://edu.ro/sites/default/files/_fi%C8%99iere/Minister/2023/Legi_educatie_Romania_educata/legi_monitor/Legea_invatamantului_superior_nr_199.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u+5TpcCmElTA4oRUQlFRghD3tA==">CgMxLjAyDmguZHlmNTdtaDRoZjk5OAByITE4ZUZDdi1EMHFDOHlpTk5mZk5JSk9zejY4X29IbUExXw==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2026-02-02T16:20:00Z</dcterms:created>
  <dc:creator>ramona.puiu</dc:creator>
</cp:coreProperties>
</file>